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F58A5" w14:textId="77777777" w:rsidR="00924ED5" w:rsidRDefault="00924ED5" w:rsidP="001B69D7">
      <w:pPr>
        <w:spacing w:after="0"/>
        <w:jc w:val="center"/>
        <w:rPr>
          <w:b/>
          <w:bCs/>
        </w:rPr>
      </w:pPr>
    </w:p>
    <w:p w14:paraId="5F78B357" w14:textId="77777777" w:rsidR="00CB517E" w:rsidRDefault="00924ED5" w:rsidP="00924ED5">
      <w:pPr>
        <w:spacing w:after="0"/>
        <w:jc w:val="both"/>
        <w:rPr>
          <w:b/>
          <w:bCs/>
        </w:rPr>
      </w:pPr>
      <w:r>
        <w:rPr>
          <w:b/>
          <w:bCs/>
        </w:rPr>
        <w:t xml:space="preserve">Otázka </w:t>
      </w:r>
      <w:r w:rsidR="00CB517E">
        <w:rPr>
          <w:b/>
          <w:bCs/>
        </w:rPr>
        <w:t xml:space="preserve">od </w:t>
      </w:r>
      <w:r>
        <w:rPr>
          <w:b/>
          <w:bCs/>
        </w:rPr>
        <w:t xml:space="preserve">subjektu: </w:t>
      </w:r>
    </w:p>
    <w:p w14:paraId="3485051F" w14:textId="77777777" w:rsidR="00924ED5" w:rsidRPr="00093EC0" w:rsidRDefault="00093EC0" w:rsidP="001B69D7">
      <w:pPr>
        <w:spacing w:after="0"/>
        <w:jc w:val="both"/>
      </w:pPr>
      <w:r w:rsidRPr="00093EC0">
        <w:t xml:space="preserve">Ako AISP/PISP by sme chceli poskytovať služby vyšším územným celkom. VÚC sú povinne klientmi Štátnej pokladnice, ktorá je poskytovateľom platobných služieb. Má Štátna povinnosť sprístupniť platobné účty, ktoré vedie </w:t>
      </w:r>
      <w:r>
        <w:t xml:space="preserve">pre </w:t>
      </w:r>
      <w:r w:rsidRPr="00093EC0">
        <w:t>VÚC prostredníctvom vyhradeného rozhrania (API)?</w:t>
      </w:r>
    </w:p>
    <w:p w14:paraId="6E223B0B" w14:textId="77777777" w:rsidR="00093EC0" w:rsidRDefault="00093EC0" w:rsidP="001B69D7">
      <w:pPr>
        <w:spacing w:after="0"/>
        <w:jc w:val="both"/>
        <w:rPr>
          <w:b/>
          <w:bCs/>
        </w:rPr>
      </w:pPr>
    </w:p>
    <w:p w14:paraId="32400B75" w14:textId="77777777" w:rsidR="00924ED5" w:rsidRDefault="00924ED5" w:rsidP="001B69D7">
      <w:pPr>
        <w:spacing w:after="0"/>
        <w:jc w:val="both"/>
        <w:rPr>
          <w:b/>
          <w:bCs/>
        </w:rPr>
      </w:pPr>
      <w:r>
        <w:rPr>
          <w:b/>
          <w:bCs/>
        </w:rPr>
        <w:t xml:space="preserve">Odpoveď </w:t>
      </w:r>
    </w:p>
    <w:p w14:paraId="5E046816" w14:textId="77777777" w:rsidR="00DD2C40" w:rsidRDefault="00197E24" w:rsidP="00034F09">
      <w:pPr>
        <w:spacing w:after="0"/>
        <w:jc w:val="both"/>
      </w:pPr>
      <w:r w:rsidRPr="00197E24">
        <w:t xml:space="preserve">Štátna pokladnica je zriadená </w:t>
      </w:r>
      <w:hyperlink r:id="rId8" w:history="1">
        <w:r w:rsidRPr="00007D0C">
          <w:rPr>
            <w:rStyle w:val="Hyperlink"/>
          </w:rPr>
          <w:t>zákonom č. 291/2002 Z. z. o Štátnej pokladnici</w:t>
        </w:r>
      </w:hyperlink>
      <w:r w:rsidRPr="00197E24">
        <w:t xml:space="preserve"> a o zmene a doplnení niektorých zákonov v znení neskorších predpisov</w:t>
      </w:r>
      <w:r w:rsidR="00DD2C40">
        <w:t xml:space="preserve"> („zákon o Štátnej pokladnici“)</w:t>
      </w:r>
      <w:r w:rsidRPr="00197E24">
        <w:t>.</w:t>
      </w:r>
      <w:r w:rsidR="004803D0">
        <w:t xml:space="preserve"> P</w:t>
      </w:r>
      <w:r w:rsidR="00CB4512">
        <w:t xml:space="preserve">odľa § 3 ods. 1 zákona o Štátnej pokladnici sa </w:t>
      </w:r>
      <w:r w:rsidR="00404514">
        <w:t>zriaďuje</w:t>
      </w:r>
      <w:r w:rsidR="00034F09">
        <w:t xml:space="preserve"> </w:t>
      </w:r>
      <w:r w:rsidR="00034F09" w:rsidRPr="00034F09">
        <w:t xml:space="preserve">orgán štátnej </w:t>
      </w:r>
      <w:r w:rsidR="00C367BB">
        <w:t>správy</w:t>
      </w:r>
      <w:r w:rsidR="00404514">
        <w:t xml:space="preserve"> s názvom Štátna pokladnica ako</w:t>
      </w:r>
      <w:r w:rsidR="00CB4512">
        <w:t xml:space="preserve"> </w:t>
      </w:r>
      <w:r w:rsidR="00034F09" w:rsidRPr="00034F09">
        <w:t>rozpočtov</w:t>
      </w:r>
      <w:r w:rsidR="00404514">
        <w:t>á</w:t>
      </w:r>
      <w:r w:rsidR="00034F09" w:rsidRPr="00034F09">
        <w:t xml:space="preserve"> organizác</w:t>
      </w:r>
      <w:r w:rsidR="00404514">
        <w:t>ia</w:t>
      </w:r>
      <w:r w:rsidR="00034F09" w:rsidRPr="00034F09">
        <w:t xml:space="preserve"> zapojen</w:t>
      </w:r>
      <w:r w:rsidR="00404514">
        <w:t>á</w:t>
      </w:r>
      <w:r w:rsidR="00034F09" w:rsidRPr="00034F09">
        <w:t xml:space="preserve"> na štátny rozpočet prostredníctvom rozpočtovej kapitoly </w:t>
      </w:r>
      <w:r w:rsidR="00C367BB" w:rsidRPr="00C367BB">
        <w:t>Ministerstva financií Slovenskej republiky</w:t>
      </w:r>
      <w:r w:rsidR="00034F09" w:rsidRPr="00034F09">
        <w:t>. Cieľom Štátnej pokladnice je zabezpečiť realizáciu rozpočtu klienta.</w:t>
      </w:r>
      <w:r w:rsidR="0024256D">
        <w:t xml:space="preserve"> Klient</w:t>
      </w:r>
      <w:r w:rsidR="006C026E">
        <w:t>mi</w:t>
      </w:r>
      <w:r w:rsidR="0024256D">
        <w:t xml:space="preserve"> Štátnej pokladnice </w:t>
      </w:r>
      <w:r w:rsidR="006C026E">
        <w:t>sú</w:t>
      </w:r>
      <w:r w:rsidR="0024256D">
        <w:t xml:space="preserve"> </w:t>
      </w:r>
      <w:r w:rsidR="00404514">
        <w:t xml:space="preserve">subjekty uvedené </w:t>
      </w:r>
      <w:r w:rsidR="00404514" w:rsidRPr="00404514">
        <w:t xml:space="preserve">v ustanovení § 2a ods. 1 zákona o </w:t>
      </w:r>
      <w:r w:rsidR="00404514" w:rsidRPr="00A74A2E">
        <w:rPr>
          <w:szCs w:val="22"/>
        </w:rPr>
        <w:t>Štátnej pokladnici</w:t>
      </w:r>
      <w:r w:rsidR="00996F66">
        <w:rPr>
          <w:szCs w:val="22"/>
        </w:rPr>
        <w:t>,</w:t>
      </w:r>
      <w:r w:rsidR="00404514" w:rsidRPr="00A74A2E">
        <w:rPr>
          <w:szCs w:val="22"/>
        </w:rPr>
        <w:t xml:space="preserve"> </w:t>
      </w:r>
      <w:r w:rsidR="002B00E4" w:rsidRPr="00A74A2E">
        <w:rPr>
          <w:szCs w:val="22"/>
        </w:rPr>
        <w:t xml:space="preserve">najmä </w:t>
      </w:r>
      <w:r w:rsidR="0024256D" w:rsidRPr="00996F66">
        <w:rPr>
          <w:szCs w:val="22"/>
        </w:rPr>
        <w:t xml:space="preserve">subjekty verejnej správy, vrátane </w:t>
      </w:r>
      <w:r w:rsidR="00A74A2E" w:rsidRPr="00996F66">
        <w:rPr>
          <w:szCs w:val="22"/>
        </w:rPr>
        <w:t>vyšších územných celkov,</w:t>
      </w:r>
      <w:r w:rsidR="00A74A2E" w:rsidRPr="007B098C">
        <w:rPr>
          <w:szCs w:val="22"/>
        </w:rPr>
        <w:t xml:space="preserve"> rozpo</w:t>
      </w:r>
      <w:r w:rsidR="00A74A2E" w:rsidRPr="007B098C">
        <w:rPr>
          <w:rFonts w:hint="eastAsia"/>
          <w:szCs w:val="22"/>
        </w:rPr>
        <w:t>č</w:t>
      </w:r>
      <w:r w:rsidR="00A74A2E" w:rsidRPr="007B098C">
        <w:rPr>
          <w:szCs w:val="22"/>
        </w:rPr>
        <w:t>tových organizácií vyšších územných celkov a príspevkových organizácií vyšších  územných celkov</w:t>
      </w:r>
      <w:r w:rsidR="006C026E" w:rsidRPr="00996F66">
        <w:rPr>
          <w:szCs w:val="22"/>
        </w:rPr>
        <w:t>.</w:t>
      </w:r>
      <w:r w:rsidR="00556B55" w:rsidRPr="00996F66">
        <w:rPr>
          <w:szCs w:val="22"/>
        </w:rPr>
        <w:t xml:space="preserve"> Pôsobnosť</w:t>
      </w:r>
      <w:r w:rsidR="00556B55" w:rsidRPr="00A74A2E">
        <w:t xml:space="preserve"> </w:t>
      </w:r>
      <w:r w:rsidR="00556B55">
        <w:t>Štátnej pokladnice je upravená v  § 6 zákona o Štátnej pokladnici.</w:t>
      </w:r>
    </w:p>
    <w:p w14:paraId="6A19F300" w14:textId="77777777" w:rsidR="00DD2C40" w:rsidRDefault="00DD2C40" w:rsidP="001B69D7">
      <w:pPr>
        <w:spacing w:after="0"/>
        <w:jc w:val="both"/>
      </w:pPr>
    </w:p>
    <w:p w14:paraId="008C2D22" w14:textId="77777777" w:rsidR="00C367BB" w:rsidRDefault="00007D0C" w:rsidP="00FE776D">
      <w:pPr>
        <w:spacing w:after="0"/>
        <w:jc w:val="both"/>
      </w:pPr>
      <w:r>
        <w:t xml:space="preserve">Podľa </w:t>
      </w:r>
      <w:r w:rsidR="00D8724D">
        <w:t xml:space="preserve">§ 2 ods. 3 písm. f) </w:t>
      </w:r>
      <w:hyperlink r:id="rId9" w:history="1">
        <w:r w:rsidR="00D8724D" w:rsidRPr="00093EC0">
          <w:rPr>
            <w:rStyle w:val="Hyperlink"/>
          </w:rPr>
          <w:t>zákona č. 492/2009 Z. z. o platobných službách</w:t>
        </w:r>
      </w:hyperlink>
      <w:r w:rsidR="00D8724D" w:rsidRPr="00D8724D">
        <w:t xml:space="preserve"> a o zmene a doplnení niektorých zákonov v znení neskorších predpisov („zákon o platobných službách“)</w:t>
      </w:r>
      <w:r w:rsidR="00D8724D">
        <w:t xml:space="preserve"> </w:t>
      </w:r>
      <w:r>
        <w:t xml:space="preserve">sa </w:t>
      </w:r>
      <w:r w:rsidR="00D8724D">
        <w:t>poskytovateľom platobných služieb</w:t>
      </w:r>
      <w:r w:rsidR="00C367BB">
        <w:t xml:space="preserve"> </w:t>
      </w:r>
      <w:r>
        <w:t xml:space="preserve">rozumie aj </w:t>
      </w:r>
      <w:r w:rsidR="00C367BB" w:rsidRPr="00C367BB">
        <w:t>Štátna pokladnica, Exportno-importná banka Slovenskej republiky, miestne orgány štátnej správy, obce a vyššie územné celky, ak sú podľa osobitného zákona oprávnené poskytovať platobné služby a ak nejde o činnosti, ktoré sa týkajú zabezpečovania verejných potrie</w:t>
      </w:r>
      <w:r w:rsidR="009A6FC4">
        <w:t>b.</w:t>
      </w:r>
      <w:r w:rsidR="00D8724D">
        <w:t xml:space="preserve"> </w:t>
      </w:r>
      <w:r w:rsidR="00CB517E">
        <w:t xml:space="preserve">Vyššie uvedené </w:t>
      </w:r>
      <w:r w:rsidR="004E6258">
        <w:t xml:space="preserve">ustanovenie </w:t>
      </w:r>
      <w:r>
        <w:t xml:space="preserve">je </w:t>
      </w:r>
      <w:r w:rsidR="00D8724D">
        <w:t>transpozíci</w:t>
      </w:r>
      <w:r>
        <w:t>ou</w:t>
      </w:r>
      <w:r w:rsidR="00D8724D">
        <w:t xml:space="preserve"> </w:t>
      </w:r>
      <w:r w:rsidR="00D8724D" w:rsidRPr="00D8724D">
        <w:t>čl</w:t>
      </w:r>
      <w:r w:rsidR="00D8724D">
        <w:t>ánku</w:t>
      </w:r>
      <w:r w:rsidR="00D8724D" w:rsidRPr="00D8724D">
        <w:t xml:space="preserve"> 1 ods.</w:t>
      </w:r>
      <w:r w:rsidR="00D8724D">
        <w:t xml:space="preserve"> 1</w:t>
      </w:r>
      <w:r w:rsidR="00D8724D" w:rsidRPr="00D8724D">
        <w:t xml:space="preserve"> písm. f) </w:t>
      </w:r>
      <w:hyperlink r:id="rId10" w:history="1">
        <w:r w:rsidR="00996F66" w:rsidRPr="007B098C">
          <w:rPr>
            <w:rStyle w:val="Hyperlink"/>
          </w:rPr>
          <w:t xml:space="preserve">smernice </w:t>
        </w:r>
        <w:r w:rsidR="00D8724D" w:rsidRPr="007B098C">
          <w:rPr>
            <w:rStyle w:val="Hyperlink"/>
          </w:rPr>
          <w:t>PSD2</w:t>
        </w:r>
      </w:hyperlink>
      <w:r w:rsidR="007B098C">
        <w:t>, podľa ktorého poskytovateľmi platobných služieb nie sú členské štáty a ich regionálne, či miestne orgány, ak konajú ako orgány verejnej moci.</w:t>
      </w:r>
    </w:p>
    <w:p w14:paraId="1CAC1492" w14:textId="77777777" w:rsidR="00007D0C" w:rsidRPr="00C367BB" w:rsidRDefault="00007D0C" w:rsidP="00C367BB">
      <w:pPr>
        <w:spacing w:after="0"/>
        <w:jc w:val="both"/>
      </w:pPr>
    </w:p>
    <w:p w14:paraId="109DE6C1" w14:textId="77777777" w:rsidR="002777F8" w:rsidRDefault="002777F8" w:rsidP="002777F8">
      <w:pPr>
        <w:spacing w:after="0"/>
        <w:jc w:val="both"/>
      </w:pPr>
      <w:r>
        <w:t>Pl</w:t>
      </w:r>
      <w:r w:rsidRPr="003357CD">
        <w:t>atobnou iniciačnou službou</w:t>
      </w:r>
      <w:r>
        <w:t xml:space="preserve"> sa podľa ustanovenia § 2 ods. 43 zákona o platobných službách </w:t>
      </w:r>
      <w:r w:rsidRPr="003357CD">
        <w:t>rozumie predloženie platobného príkazu na pokyn používateľa platobných služieb vo vzťahu k</w:t>
      </w:r>
      <w:r w:rsidR="000D18EA">
        <w:t> </w:t>
      </w:r>
      <w:r w:rsidRPr="003357CD">
        <w:t>platobnému účtu, ktorý je prístupný online prostredníctvom internetu a je vedený u iného poskytovateľa platobných služieb.</w:t>
      </w:r>
    </w:p>
    <w:p w14:paraId="14AA448F" w14:textId="77777777" w:rsidR="002777F8" w:rsidRDefault="002777F8" w:rsidP="002777F8">
      <w:pPr>
        <w:spacing w:after="0"/>
        <w:jc w:val="both"/>
      </w:pPr>
    </w:p>
    <w:p w14:paraId="6314D3E3" w14:textId="77777777" w:rsidR="002777F8" w:rsidRDefault="002777F8" w:rsidP="002777F8">
      <w:pPr>
        <w:spacing w:after="0"/>
        <w:jc w:val="both"/>
      </w:pPr>
      <w:r>
        <w:t xml:space="preserve">Službou informovania o platobnom účte je </w:t>
      </w:r>
      <w:r w:rsidR="004E6258">
        <w:t xml:space="preserve">podľa </w:t>
      </w:r>
      <w:r>
        <w:t xml:space="preserve">ustanovenia § 2 ods. 44 zákona o platobných službách </w:t>
      </w:r>
      <w:r w:rsidRPr="002777F8">
        <w:t>online služba prostredníctvom internetu alebo iného elektronického distribučného kanálu spočívajúca v poskytovaní konsolidovaných informácií o jednom alebo viacerých platobných účtoch, ktoré sú prístupné online prostredníctvom internetu alebo iného elektronického distribučného kanálu a ktoré má používateľ platobných služieb vedené u iného poskytovateľa platobných služieb alebo u viacerých poskytovateľov platobných služieb.</w:t>
      </w:r>
    </w:p>
    <w:p w14:paraId="31119AEC" w14:textId="77777777" w:rsidR="000E7770" w:rsidRDefault="000E7770" w:rsidP="002777F8">
      <w:pPr>
        <w:spacing w:after="0"/>
        <w:jc w:val="both"/>
      </w:pPr>
    </w:p>
    <w:p w14:paraId="0B711DAA" w14:textId="77777777" w:rsidR="00FE776D" w:rsidRDefault="00556B55" w:rsidP="00FE776D">
      <w:pPr>
        <w:spacing w:after="0"/>
        <w:jc w:val="both"/>
      </w:pPr>
      <w:r w:rsidRPr="007B098C">
        <w:rPr>
          <w:b/>
          <w:bCs/>
        </w:rPr>
        <w:t>Ministerstvo financií Slovenskej republiky</w:t>
      </w:r>
      <w:r w:rsidR="00213D23">
        <w:t xml:space="preserve"> ako gestor zákona o platobných službách </w:t>
      </w:r>
      <w:r w:rsidR="00093EC0">
        <w:t>poskytol Národnej banke Slovenska k vyššie uvedenej otázke stanovisko,</w:t>
      </w:r>
      <w:r w:rsidR="008E5694">
        <w:t xml:space="preserve"> </w:t>
      </w:r>
      <w:r w:rsidR="00093EC0">
        <w:t>v ktorom sa konštatuje, že podľa</w:t>
      </w:r>
      <w:r w:rsidR="00FE776D">
        <w:t xml:space="preserve"> § 3a ods. 1 a § 3b ods. </w:t>
      </w:r>
      <w:r w:rsidR="00D30A3A">
        <w:t>1</w:t>
      </w:r>
      <w:r w:rsidR="00FE776D">
        <w:t xml:space="preserve"> zákona o platobných službách</w:t>
      </w:r>
      <w:r w:rsidR="00093EC0">
        <w:t>,</w:t>
      </w:r>
      <w:r w:rsidR="00FE776D">
        <w:t xml:space="preserve"> </w:t>
      </w:r>
      <w:r w:rsidR="00610835">
        <w:t xml:space="preserve">používateľ platobných služieb </w:t>
      </w:r>
      <w:r w:rsidR="00FE776D" w:rsidRPr="00D8724D">
        <w:t>môže využiť platobnú iniciačnú službu</w:t>
      </w:r>
      <w:r w:rsidR="00FE776D">
        <w:t xml:space="preserve"> alebo </w:t>
      </w:r>
      <w:r w:rsidR="00FE776D" w:rsidRPr="00D8724D">
        <w:t xml:space="preserve">službu informovania o platobnom účte, </w:t>
      </w:r>
      <w:r w:rsidR="00213D23" w:rsidRPr="007B098C">
        <w:rPr>
          <w:u w:val="single"/>
        </w:rPr>
        <w:t xml:space="preserve">len </w:t>
      </w:r>
      <w:r w:rsidR="00FE776D" w:rsidRPr="007B098C">
        <w:rPr>
          <w:u w:val="single"/>
        </w:rPr>
        <w:t>ak je jeho platobný účet prístupný online prostredníctvom internetu</w:t>
      </w:r>
      <w:r w:rsidR="00FE776D" w:rsidRPr="00D8724D">
        <w:t>.</w:t>
      </w:r>
      <w:r w:rsidR="008E5694">
        <w:t xml:space="preserve"> </w:t>
      </w:r>
      <w:r w:rsidR="00093EC0">
        <w:t>P</w:t>
      </w:r>
      <w:r w:rsidR="008E5694" w:rsidRPr="008E5694">
        <w:t>odmienka o prístupnosti platobného účtu online prostredníctvom internetu</w:t>
      </w:r>
      <w:r w:rsidR="001A1534">
        <w:t xml:space="preserve"> je rovnako </w:t>
      </w:r>
      <w:r w:rsidR="008E5694" w:rsidRPr="008E5694">
        <w:t>obsiahnutá v</w:t>
      </w:r>
      <w:r w:rsidR="00213D23">
        <w:t>o vyššie uvedených</w:t>
      </w:r>
      <w:r w:rsidR="008E5694" w:rsidRPr="008E5694">
        <w:t xml:space="preserve"> definíciách podľa § 2 ods. 43 a</w:t>
      </w:r>
      <w:r w:rsidR="008E5694">
        <w:t> </w:t>
      </w:r>
      <w:r w:rsidR="008E5694" w:rsidRPr="008E5694">
        <w:t>44</w:t>
      </w:r>
      <w:r w:rsidR="008E5694">
        <w:t xml:space="preserve"> zákona o platobných službách.</w:t>
      </w:r>
    </w:p>
    <w:p w14:paraId="0D8BB2A4" w14:textId="77777777" w:rsidR="00FE776D" w:rsidRDefault="00FE776D" w:rsidP="002777F8">
      <w:pPr>
        <w:spacing w:after="0"/>
        <w:jc w:val="both"/>
      </w:pPr>
    </w:p>
    <w:p w14:paraId="4350F3AD" w14:textId="77777777" w:rsidR="00FE776D" w:rsidRDefault="000E7770" w:rsidP="00FE776D">
      <w:pPr>
        <w:spacing w:after="0"/>
        <w:jc w:val="both"/>
      </w:pPr>
      <w:r w:rsidRPr="007B098C">
        <w:rPr>
          <w:b/>
          <w:bCs/>
        </w:rPr>
        <w:lastRenderedPageBreak/>
        <w:t>Štátna pokladnica</w:t>
      </w:r>
      <w:r w:rsidR="008E5694">
        <w:t xml:space="preserve"> </w:t>
      </w:r>
      <w:r w:rsidR="00093EC0">
        <w:t xml:space="preserve">poskytla Národnej banke Slovenska stanovisko z ktorého vyplýva, že </w:t>
      </w:r>
      <w:r w:rsidRPr="007B098C">
        <w:rPr>
          <w:u w:val="single"/>
        </w:rPr>
        <w:t>nevedie platobné účty</w:t>
      </w:r>
      <w:r w:rsidR="00FE776D" w:rsidRPr="007B098C">
        <w:rPr>
          <w:u w:val="single"/>
        </w:rPr>
        <w:t>, ktoré sú</w:t>
      </w:r>
      <w:r w:rsidRPr="007B098C">
        <w:rPr>
          <w:u w:val="single"/>
        </w:rPr>
        <w:t xml:space="preserve"> klientom prístupné </w:t>
      </w:r>
      <w:r w:rsidR="000071B6" w:rsidRPr="007B098C">
        <w:rPr>
          <w:u w:val="single"/>
        </w:rPr>
        <w:t xml:space="preserve">online </w:t>
      </w:r>
      <w:r w:rsidRPr="007B098C">
        <w:rPr>
          <w:u w:val="single"/>
        </w:rPr>
        <w:t>prostredníctvom internetu.</w:t>
      </w:r>
      <w:r w:rsidR="00C244FF" w:rsidRPr="007B098C">
        <w:rPr>
          <w:szCs w:val="22"/>
          <w:u w:val="single"/>
        </w:rPr>
        <w:t xml:space="preserve"> </w:t>
      </w:r>
      <w:r w:rsidR="000D18EA" w:rsidRPr="000D18EA">
        <w:t>Účty klientov Štátnej pokladnice sú prístupné prostredníctvom Informačného systému Štátnej pokladnice. Informačný systém Štátnej pokladnice</w:t>
      </w:r>
      <w:r w:rsidR="00C244FF">
        <w:t xml:space="preserve"> (</w:t>
      </w:r>
      <w:r w:rsidR="00546465">
        <w:t>„</w:t>
      </w:r>
      <w:r w:rsidR="00C244FF">
        <w:t>IS ŠP</w:t>
      </w:r>
      <w:r w:rsidR="00546465">
        <w:t>“</w:t>
      </w:r>
      <w:r w:rsidR="00C244FF">
        <w:t>)</w:t>
      </w:r>
      <w:r w:rsidR="000D18EA" w:rsidRPr="000D18EA">
        <w:t xml:space="preserve"> je súčasťou systému </w:t>
      </w:r>
      <w:r w:rsidR="001B747F">
        <w:t xml:space="preserve">Štátnej </w:t>
      </w:r>
      <w:r w:rsidR="000D18EA" w:rsidRPr="000D18EA">
        <w:t>pokladnice, ktorý je definovaný v</w:t>
      </w:r>
      <w:r w:rsidR="000D18EA">
        <w:t xml:space="preserve"> ustanovení </w:t>
      </w:r>
      <w:r w:rsidR="000D18EA" w:rsidRPr="000D18EA">
        <w:t>§ 2 zákona o Štátnej pokladnici. Bližšie informácie o</w:t>
      </w:r>
      <w:r w:rsidR="00546465">
        <w:t> </w:t>
      </w:r>
      <w:r w:rsidR="000D18EA" w:rsidRPr="000D18EA">
        <w:t xml:space="preserve">aplikáciách a systémoch, prostredníctvom ktorých pristupujú klienti do </w:t>
      </w:r>
      <w:r w:rsidR="00487A20">
        <w:t>IS ŠP</w:t>
      </w:r>
      <w:r w:rsidR="000D18EA" w:rsidRPr="000D18EA">
        <w:t xml:space="preserve"> sú </w:t>
      </w:r>
      <w:r w:rsidR="00610835">
        <w:t xml:space="preserve">uvedené </w:t>
      </w:r>
      <w:r w:rsidR="000D18EA" w:rsidRPr="000D18EA">
        <w:t xml:space="preserve">na </w:t>
      </w:r>
      <w:hyperlink r:id="rId11" w:history="1">
        <w:r w:rsidR="000D18EA" w:rsidRPr="00487A20">
          <w:rPr>
            <w:rStyle w:val="Hyperlink"/>
          </w:rPr>
          <w:t>webovom sídle Štátnej pokladnice</w:t>
        </w:r>
      </w:hyperlink>
      <w:r w:rsidR="000D18EA">
        <w:t xml:space="preserve">. </w:t>
      </w:r>
      <w:r w:rsidR="000D18EA" w:rsidRPr="000D18EA">
        <w:t xml:space="preserve">Technická realizácia systému </w:t>
      </w:r>
      <w:r w:rsidR="000D18EA">
        <w:t>Š</w:t>
      </w:r>
      <w:r w:rsidR="000D18EA" w:rsidRPr="000D18EA">
        <w:t xml:space="preserve">tátnej pokladnice </w:t>
      </w:r>
      <w:r w:rsidR="00D02821">
        <w:t>bola</w:t>
      </w:r>
      <w:r w:rsidR="00B824DC">
        <w:t xml:space="preserve"> zrealizova</w:t>
      </w:r>
      <w:r w:rsidR="00D02821">
        <w:t>ná</w:t>
      </w:r>
      <w:r w:rsidR="00B824DC">
        <w:t xml:space="preserve"> </w:t>
      </w:r>
      <w:r w:rsidR="000D18EA" w:rsidRPr="000D18EA">
        <w:t>podľa Stratégie budovania systému Štátnej pokladnice do</w:t>
      </w:r>
      <w:r w:rsidR="000D18EA">
        <w:t> </w:t>
      </w:r>
      <w:r w:rsidR="000D18EA" w:rsidRPr="000D18EA">
        <w:t>roku 2002</w:t>
      </w:r>
      <w:r w:rsidR="00D02821">
        <w:t xml:space="preserve">, ktorá vyplýva z </w:t>
      </w:r>
      <w:r w:rsidR="000D18EA" w:rsidRPr="000D18EA">
        <w:t>Uznesenia  vlády Slovenskej republiky č. 434/2000</w:t>
      </w:r>
      <w:r w:rsidR="00B824DC">
        <w:t>.</w:t>
      </w:r>
    </w:p>
    <w:p w14:paraId="13A1133C" w14:textId="77777777" w:rsidR="00CB517E" w:rsidRDefault="00CB517E" w:rsidP="00FE776D">
      <w:pPr>
        <w:spacing w:after="0"/>
        <w:jc w:val="both"/>
      </w:pPr>
    </w:p>
    <w:p w14:paraId="256BA10B" w14:textId="77777777" w:rsidR="00D02821" w:rsidRDefault="00D02821" w:rsidP="00FE776D">
      <w:pPr>
        <w:spacing w:after="0"/>
        <w:jc w:val="both"/>
      </w:pPr>
      <w:r>
        <w:t>Na webovom sídle Štátnej pokladnice</w:t>
      </w:r>
      <w:r w:rsidR="00CB517E">
        <w:t xml:space="preserve"> </w:t>
      </w:r>
      <w:r w:rsidR="00093EC0">
        <w:t>sú prístupné aj</w:t>
      </w:r>
      <w:r w:rsidR="00CB517E">
        <w:t xml:space="preserve"> ďalšie súvisiace informácie ako napríklad</w:t>
      </w:r>
      <w:r>
        <w:t>:</w:t>
      </w:r>
    </w:p>
    <w:p w14:paraId="2D0DD7F9" w14:textId="77777777" w:rsidR="00D02821" w:rsidRDefault="00D63571" w:rsidP="00093EC0">
      <w:pPr>
        <w:pStyle w:val="ListParagraph"/>
        <w:numPr>
          <w:ilvl w:val="0"/>
          <w:numId w:val="5"/>
        </w:numPr>
        <w:spacing w:after="0"/>
        <w:jc w:val="both"/>
      </w:pPr>
      <w:hyperlink r:id="rId12" w:history="1">
        <w:r w:rsidR="00D02821" w:rsidRPr="00D02821">
          <w:rPr>
            <w:rStyle w:val="Hyperlink"/>
          </w:rPr>
          <w:t xml:space="preserve">Aktuálne platné technické požiadavky na pripojenie do komunikačno-technologickej infraštruktúry </w:t>
        </w:r>
        <w:proofErr w:type="spellStart"/>
        <w:r w:rsidR="00D02821" w:rsidRPr="00D02821">
          <w:rPr>
            <w:rStyle w:val="Hyperlink"/>
          </w:rPr>
          <w:t>DataCentra</w:t>
        </w:r>
        <w:proofErr w:type="spellEnd"/>
        <w:r w:rsidR="00D02821" w:rsidRPr="00D02821">
          <w:rPr>
            <w:rStyle w:val="Hyperlink"/>
          </w:rPr>
          <w:t xml:space="preserve"> k systému Štátnej pokladnice</w:t>
        </w:r>
      </w:hyperlink>
      <w:r w:rsidR="000071B6">
        <w:t>,</w:t>
      </w:r>
    </w:p>
    <w:p w14:paraId="07232F0C" w14:textId="77777777" w:rsidR="00D02821" w:rsidRDefault="00D63571" w:rsidP="00093EC0">
      <w:pPr>
        <w:pStyle w:val="ListParagraph"/>
        <w:numPr>
          <w:ilvl w:val="0"/>
          <w:numId w:val="5"/>
        </w:numPr>
        <w:spacing w:after="0"/>
        <w:jc w:val="both"/>
      </w:pPr>
      <w:hyperlink r:id="rId13" w:history="1">
        <w:r w:rsidR="00D02821" w:rsidRPr="00D02821">
          <w:rPr>
            <w:rStyle w:val="Hyperlink"/>
          </w:rPr>
          <w:t>Popis a požiadavky pre priame prepojenie informačného systému klienta a IS ŠP</w:t>
        </w:r>
      </w:hyperlink>
      <w:r w:rsidR="000071B6">
        <w:t>.</w:t>
      </w:r>
    </w:p>
    <w:p w14:paraId="6BD08CB0" w14:textId="77777777" w:rsidR="00D02821" w:rsidRDefault="00D02821" w:rsidP="00FE776D">
      <w:pPr>
        <w:spacing w:after="0"/>
        <w:jc w:val="both"/>
      </w:pPr>
    </w:p>
    <w:p w14:paraId="3AB23805" w14:textId="77777777" w:rsidR="00FE776D" w:rsidRPr="00A74A2E" w:rsidRDefault="00CB517E" w:rsidP="00FE776D">
      <w:pPr>
        <w:spacing w:after="0"/>
        <w:jc w:val="both"/>
      </w:pPr>
      <w:r>
        <w:t xml:space="preserve">Štátna pokladnica </w:t>
      </w:r>
      <w:r w:rsidR="00FE776D" w:rsidRPr="00404514">
        <w:rPr>
          <w:szCs w:val="22"/>
        </w:rPr>
        <w:t xml:space="preserve">podľa ustanovenia § 6 </w:t>
      </w:r>
      <w:r w:rsidR="00FE776D" w:rsidRPr="00A74A2E">
        <w:rPr>
          <w:szCs w:val="22"/>
        </w:rPr>
        <w:t>ods. 1 písm. h) zákona o Štátnej pokladnici vedie a</w:t>
      </w:r>
      <w:r w:rsidR="00546465" w:rsidRPr="00A74A2E">
        <w:rPr>
          <w:szCs w:val="22"/>
        </w:rPr>
        <w:t> </w:t>
      </w:r>
      <w:r w:rsidR="00FE776D" w:rsidRPr="00A74A2E">
        <w:rPr>
          <w:szCs w:val="22"/>
        </w:rPr>
        <w:t xml:space="preserve">spravuje účty klienta na zmluvnom základe a v zmysle ustanovenia </w:t>
      </w:r>
      <w:r w:rsidR="00FE776D" w:rsidRPr="00996F66">
        <w:rPr>
          <w:szCs w:val="22"/>
        </w:rPr>
        <w:t>§ 6 ods. 1 písm. a) zákona o</w:t>
      </w:r>
      <w:r w:rsidR="000071B6" w:rsidRPr="00996F66">
        <w:rPr>
          <w:szCs w:val="22"/>
        </w:rPr>
        <w:t> </w:t>
      </w:r>
      <w:r w:rsidR="00FE776D" w:rsidRPr="00996F66">
        <w:rPr>
          <w:szCs w:val="22"/>
        </w:rPr>
        <w:t>Štátnej pokladnici</w:t>
      </w:r>
      <w:r w:rsidR="00404514" w:rsidRPr="00996F66">
        <w:rPr>
          <w:szCs w:val="22"/>
        </w:rPr>
        <w:t xml:space="preserve"> </w:t>
      </w:r>
      <w:r w:rsidR="00404514" w:rsidRPr="007B098C">
        <w:rPr>
          <w:szCs w:val="22"/>
        </w:rPr>
        <w:t>realizuje rozpo</w:t>
      </w:r>
      <w:r w:rsidR="00404514" w:rsidRPr="007B098C">
        <w:rPr>
          <w:rFonts w:hint="eastAsia"/>
          <w:szCs w:val="22"/>
        </w:rPr>
        <w:t>č</w:t>
      </w:r>
      <w:r w:rsidR="00404514" w:rsidRPr="007B098C">
        <w:rPr>
          <w:szCs w:val="22"/>
        </w:rPr>
        <w:t>et klienta pod</w:t>
      </w:r>
      <w:r w:rsidR="00404514" w:rsidRPr="007B098C">
        <w:rPr>
          <w:rFonts w:hint="eastAsia"/>
          <w:szCs w:val="22"/>
        </w:rPr>
        <w:t>ľ</w:t>
      </w:r>
      <w:r w:rsidR="00404514" w:rsidRPr="007B098C">
        <w:rPr>
          <w:szCs w:val="22"/>
        </w:rPr>
        <w:t>a zákona o Štátnej pokladnici</w:t>
      </w:r>
      <w:r w:rsidR="001A1534" w:rsidRPr="00A74A2E">
        <w:rPr>
          <w:szCs w:val="22"/>
        </w:rPr>
        <w:t>.</w:t>
      </w:r>
      <w:r w:rsidR="000071B6" w:rsidRPr="00A74A2E">
        <w:rPr>
          <w:szCs w:val="22"/>
        </w:rPr>
        <w:t xml:space="preserve"> </w:t>
      </w:r>
    </w:p>
    <w:p w14:paraId="621BE9DC" w14:textId="77777777" w:rsidR="006B75C4" w:rsidRDefault="006B75C4" w:rsidP="002777F8">
      <w:pPr>
        <w:spacing w:after="0"/>
        <w:jc w:val="both"/>
      </w:pPr>
    </w:p>
    <w:sectPr w:rsidR="006B75C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245F3" w14:textId="77777777" w:rsidR="00D63571" w:rsidRDefault="00D63571" w:rsidP="0009480D">
      <w:pPr>
        <w:spacing w:after="0" w:line="240" w:lineRule="auto"/>
      </w:pPr>
      <w:r>
        <w:separator/>
      </w:r>
    </w:p>
  </w:endnote>
  <w:endnote w:type="continuationSeparator" w:id="0">
    <w:p w14:paraId="5D768245" w14:textId="77777777" w:rsidR="00D63571" w:rsidRDefault="00D63571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0244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7CBA1" w14:textId="77777777" w:rsidR="00D63571" w:rsidRDefault="00D63571" w:rsidP="0009480D">
      <w:pPr>
        <w:spacing w:after="0" w:line="240" w:lineRule="auto"/>
      </w:pPr>
      <w:r>
        <w:separator/>
      </w:r>
    </w:p>
  </w:footnote>
  <w:footnote w:type="continuationSeparator" w:id="0">
    <w:p w14:paraId="2D29E5C8" w14:textId="77777777" w:rsidR="00D63571" w:rsidRDefault="00D63571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199"/>
    <w:multiLevelType w:val="hybridMultilevel"/>
    <w:tmpl w:val="99A855BE"/>
    <w:lvl w:ilvl="0" w:tplc="2DC65E4C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1726"/>
    <w:multiLevelType w:val="hybridMultilevel"/>
    <w:tmpl w:val="9864C1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93303"/>
    <w:multiLevelType w:val="hybridMultilevel"/>
    <w:tmpl w:val="4DC040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096D"/>
    <w:multiLevelType w:val="hybridMultilevel"/>
    <w:tmpl w:val="9D429BE4"/>
    <w:lvl w:ilvl="0" w:tplc="FC562C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33EB8"/>
    <w:multiLevelType w:val="hybridMultilevel"/>
    <w:tmpl w:val="B34C0D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AE"/>
    <w:rsid w:val="000071B6"/>
    <w:rsid w:val="00007D0C"/>
    <w:rsid w:val="00034F09"/>
    <w:rsid w:val="000370E2"/>
    <w:rsid w:val="0005489C"/>
    <w:rsid w:val="00093EC0"/>
    <w:rsid w:val="0009480D"/>
    <w:rsid w:val="000D18EA"/>
    <w:rsid w:val="000E7770"/>
    <w:rsid w:val="00121D0E"/>
    <w:rsid w:val="00130860"/>
    <w:rsid w:val="001663B6"/>
    <w:rsid w:val="00195788"/>
    <w:rsid w:val="00197E24"/>
    <w:rsid w:val="001A07CD"/>
    <w:rsid w:val="001A1534"/>
    <w:rsid w:val="001A694C"/>
    <w:rsid w:val="001B69D7"/>
    <w:rsid w:val="001B747F"/>
    <w:rsid w:val="001D01FE"/>
    <w:rsid w:val="001D5F9F"/>
    <w:rsid w:val="001D6681"/>
    <w:rsid w:val="00213D23"/>
    <w:rsid w:val="00225679"/>
    <w:rsid w:val="0024256D"/>
    <w:rsid w:val="002777F8"/>
    <w:rsid w:val="00283D56"/>
    <w:rsid w:val="002869E8"/>
    <w:rsid w:val="002B00E4"/>
    <w:rsid w:val="002B4CD0"/>
    <w:rsid w:val="002D4394"/>
    <w:rsid w:val="00310A5E"/>
    <w:rsid w:val="003357CD"/>
    <w:rsid w:val="00351E39"/>
    <w:rsid w:val="003636B5"/>
    <w:rsid w:val="00375842"/>
    <w:rsid w:val="00392F01"/>
    <w:rsid w:val="00404514"/>
    <w:rsid w:val="004100B0"/>
    <w:rsid w:val="00445B18"/>
    <w:rsid w:val="00446633"/>
    <w:rsid w:val="00477EE7"/>
    <w:rsid w:val="004803D0"/>
    <w:rsid w:val="00487A20"/>
    <w:rsid w:val="004D7E2D"/>
    <w:rsid w:val="004E6258"/>
    <w:rsid w:val="005316F2"/>
    <w:rsid w:val="00546465"/>
    <w:rsid w:val="00556B55"/>
    <w:rsid w:val="00564381"/>
    <w:rsid w:val="005939CC"/>
    <w:rsid w:val="00597D11"/>
    <w:rsid w:val="005A1CD3"/>
    <w:rsid w:val="00610835"/>
    <w:rsid w:val="006470E3"/>
    <w:rsid w:val="006B75C4"/>
    <w:rsid w:val="006C026E"/>
    <w:rsid w:val="00737887"/>
    <w:rsid w:val="00754EA3"/>
    <w:rsid w:val="00767EE7"/>
    <w:rsid w:val="00782367"/>
    <w:rsid w:val="00787300"/>
    <w:rsid w:val="007B098C"/>
    <w:rsid w:val="008232F8"/>
    <w:rsid w:val="008A25F5"/>
    <w:rsid w:val="008E5694"/>
    <w:rsid w:val="008F1D98"/>
    <w:rsid w:val="008F4178"/>
    <w:rsid w:val="00924ED5"/>
    <w:rsid w:val="00933324"/>
    <w:rsid w:val="00983870"/>
    <w:rsid w:val="009841D6"/>
    <w:rsid w:val="00996F66"/>
    <w:rsid w:val="009A6FA0"/>
    <w:rsid w:val="009A6FC4"/>
    <w:rsid w:val="009F6983"/>
    <w:rsid w:val="00A719D6"/>
    <w:rsid w:val="00A74A2E"/>
    <w:rsid w:val="00A765C0"/>
    <w:rsid w:val="00AF0AFB"/>
    <w:rsid w:val="00B12477"/>
    <w:rsid w:val="00B23B66"/>
    <w:rsid w:val="00B31C02"/>
    <w:rsid w:val="00B42F36"/>
    <w:rsid w:val="00B824DC"/>
    <w:rsid w:val="00BA1B81"/>
    <w:rsid w:val="00BA4BE5"/>
    <w:rsid w:val="00BC7F3C"/>
    <w:rsid w:val="00C244FF"/>
    <w:rsid w:val="00C263F5"/>
    <w:rsid w:val="00C35E8A"/>
    <w:rsid w:val="00C367BB"/>
    <w:rsid w:val="00C66C13"/>
    <w:rsid w:val="00CB4512"/>
    <w:rsid w:val="00CB517E"/>
    <w:rsid w:val="00CB7C08"/>
    <w:rsid w:val="00CD0829"/>
    <w:rsid w:val="00CD7910"/>
    <w:rsid w:val="00D02821"/>
    <w:rsid w:val="00D26B0E"/>
    <w:rsid w:val="00D30A3A"/>
    <w:rsid w:val="00D34FAE"/>
    <w:rsid w:val="00D63571"/>
    <w:rsid w:val="00D77C2C"/>
    <w:rsid w:val="00D8724D"/>
    <w:rsid w:val="00DD2C40"/>
    <w:rsid w:val="00E03572"/>
    <w:rsid w:val="00E675BB"/>
    <w:rsid w:val="00EA24E3"/>
    <w:rsid w:val="00EE33CC"/>
    <w:rsid w:val="00F3062A"/>
    <w:rsid w:val="00FE29B3"/>
    <w:rsid w:val="00FE776D"/>
    <w:rsid w:val="00FF04B5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A8A7"/>
  <w15:chartTrackingRefBased/>
  <w15:docId w15:val="{33C19BDF-153D-48D1-AC06-D671A416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basedOn w:val="Normal"/>
    <w:uiPriority w:val="34"/>
    <w:qFormat/>
    <w:rsid w:val="00DD2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7BB"/>
    <w:rPr>
      <w:color w:val="1C355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7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2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4D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4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4D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D0829"/>
    <w:rPr>
      <w:color w:val="73253E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5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6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56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5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6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1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6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1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1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3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1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6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39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8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9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8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2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8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7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1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7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0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87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5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7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6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1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0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7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5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5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8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4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1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1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4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9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7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1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2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7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6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3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9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4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7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3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4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2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3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291/20160101.html" TargetMode="External"/><Relationship Id="rId13" Type="http://schemas.openxmlformats.org/officeDocument/2006/relationships/hyperlink" Target="https://www.pokladnica.sk/sk/informacny-system/prepojenie-systemov-klienta-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kladnica.sk/sk/informacny-system/poziadavky-na-technicke-vybav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kladnica.sk/sk/informacny-system/informacny-system-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-lex.europa.eu/legal-content/sk/TXT/?uri=CELEX%3A32015L2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9/492/2020122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EC3EA-07CF-4C5C-8127-E95D9556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Matulová Beáta</dc:creator>
  <cp:keywords/>
  <dc:description/>
  <cp:lastModifiedBy>Róbert Matuška</cp:lastModifiedBy>
  <cp:revision>2</cp:revision>
  <cp:lastPrinted>2021-01-26T14:11:00Z</cp:lastPrinted>
  <dcterms:created xsi:type="dcterms:W3CDTF">2021-02-25T09:49:00Z</dcterms:created>
  <dcterms:modified xsi:type="dcterms:W3CDTF">2021-03-17T14:10:00Z</dcterms:modified>
</cp:coreProperties>
</file>