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CC" w:rsidRDefault="004814AE" w:rsidP="004136BC">
      <w:pPr>
        <w:ind w:left="-709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Formulár na ozna</w:t>
      </w:r>
      <w:r w:rsidR="004136BC">
        <w:rPr>
          <w:rFonts w:ascii="Arial" w:hAnsi="Arial"/>
          <w:b/>
          <w:sz w:val="28"/>
        </w:rPr>
        <w:t xml:space="preserve">movanie podielov na hlasovacích </w:t>
      </w:r>
      <w:r>
        <w:rPr>
          <w:rFonts w:ascii="Arial" w:hAnsi="Arial"/>
          <w:b/>
          <w:sz w:val="28"/>
        </w:rPr>
        <w:t>právach</w:t>
      </w:r>
      <w:r w:rsidR="006D5B08">
        <w:rPr>
          <w:rFonts w:ascii="Arial" w:hAnsi="Arial"/>
          <w:b/>
          <w:sz w:val="28"/>
        </w:rPr>
        <w:t xml:space="preserve"> </w:t>
      </w:r>
    </w:p>
    <w:p w:rsidR="003026CC" w:rsidRDefault="003026CC" w:rsidP="004814AE">
      <w:pPr>
        <w:ind w:left="-709"/>
        <w:rPr>
          <w:rFonts w:ascii="Arial" w:hAnsi="Arial"/>
          <w:b/>
          <w:sz w:val="28"/>
        </w:rPr>
      </w:pPr>
    </w:p>
    <w:p w:rsidR="004814AE" w:rsidRPr="003026CC" w:rsidRDefault="006D5B08" w:rsidP="003026CC">
      <w:pPr>
        <w:ind w:left="-709"/>
        <w:jc w:val="both"/>
        <w:rPr>
          <w:rFonts w:ascii="Arial" w:hAnsi="Arial" w:cs="Arial"/>
          <w:sz w:val="24"/>
        </w:rPr>
      </w:pPr>
      <w:r w:rsidRPr="003026CC">
        <w:rPr>
          <w:rFonts w:ascii="Arial" w:hAnsi="Arial"/>
          <w:sz w:val="24"/>
        </w:rPr>
        <w:t>podľa ustanoven</w:t>
      </w:r>
      <w:r w:rsidR="000E6A4C">
        <w:rPr>
          <w:rFonts w:ascii="Arial" w:hAnsi="Arial"/>
          <w:sz w:val="24"/>
        </w:rPr>
        <w:t>í</w:t>
      </w:r>
      <w:r w:rsidRPr="003026CC">
        <w:rPr>
          <w:rFonts w:ascii="Arial" w:hAnsi="Arial"/>
          <w:sz w:val="24"/>
        </w:rPr>
        <w:t xml:space="preserve"> § 41 a § 43 zákona č. 429/2002 </w:t>
      </w:r>
      <w:proofErr w:type="spellStart"/>
      <w:r w:rsidRPr="003026CC">
        <w:rPr>
          <w:rFonts w:ascii="Arial" w:hAnsi="Arial"/>
          <w:sz w:val="24"/>
        </w:rPr>
        <w:t>Z.z</w:t>
      </w:r>
      <w:proofErr w:type="spellEnd"/>
      <w:r w:rsidRPr="003026CC">
        <w:rPr>
          <w:rFonts w:ascii="Arial" w:hAnsi="Arial"/>
          <w:sz w:val="24"/>
        </w:rPr>
        <w:t>. o burze cenných papierov v znení neskorších predpisov (ďalej len „</w:t>
      </w:r>
      <w:proofErr w:type="spellStart"/>
      <w:r w:rsidRPr="003026CC">
        <w:rPr>
          <w:rFonts w:ascii="Arial" w:hAnsi="Arial"/>
          <w:sz w:val="24"/>
        </w:rPr>
        <w:t>ZoBurze</w:t>
      </w:r>
      <w:proofErr w:type="spellEnd"/>
      <w:r w:rsidRPr="003026CC">
        <w:rPr>
          <w:rFonts w:ascii="Arial" w:hAnsi="Arial"/>
          <w:sz w:val="24"/>
        </w:rPr>
        <w:t>“)</w:t>
      </w:r>
    </w:p>
    <w:p w:rsidR="004814AE" w:rsidRPr="003026CC" w:rsidRDefault="004814AE" w:rsidP="004814AE">
      <w:pPr>
        <w:spacing w:after="120" w:line="264" w:lineRule="auto"/>
        <w:jc w:val="both"/>
        <w:rPr>
          <w:rFonts w:ascii="Arial" w:hAnsi="Arial" w:cs="Arial"/>
          <w:b/>
          <w:sz w:val="2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027"/>
        <w:gridCol w:w="97"/>
        <w:gridCol w:w="2313"/>
        <w:gridCol w:w="558"/>
        <w:gridCol w:w="1568"/>
        <w:gridCol w:w="1933"/>
      </w:tblGrid>
      <w:tr w:rsidR="004814AE" w:rsidRPr="000B4E53" w:rsidTr="00E3723D">
        <w:trPr>
          <w:trHeight w:val="422"/>
        </w:trPr>
        <w:tc>
          <w:tcPr>
            <w:tcW w:w="10620" w:type="dxa"/>
            <w:gridSpan w:val="7"/>
            <w:vAlign w:val="center"/>
          </w:tcPr>
          <w:p w:rsidR="004814AE" w:rsidRPr="0050630A" w:rsidRDefault="004814AE" w:rsidP="00E372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/>
                <w:b/>
              </w:rPr>
              <w:t>OZNÁMENIE PODIELOV NA HLASOVACÍCH PRÁVACH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-BoldMT" w:hAnsi="Arial-BoldMT"/>
              </w:rPr>
              <w:t xml:space="preserve">(zasiela sa príslušnému emitentovi </w:t>
            </w:r>
            <w:r w:rsidRPr="00293FEA">
              <w:rPr>
                <w:rFonts w:ascii="Arial-BoldMT" w:hAnsi="Arial-BoldMT"/>
              </w:rPr>
              <w:t>a</w:t>
            </w:r>
            <w:r>
              <w:rPr>
                <w:rFonts w:ascii="Arial-BoldMT" w:hAnsi="Arial-BoldMT"/>
              </w:rPr>
              <w:t> Národnej banke Slovenska)</w:t>
            </w:r>
            <w:r w:rsidR="003026CC">
              <w:rPr>
                <w:rFonts w:ascii="Arial" w:hAnsi="Arial"/>
                <w:sz w:val="16"/>
                <w:vertAlign w:val="superscript"/>
              </w:rPr>
              <w:t>1</w:t>
            </w:r>
          </w:p>
        </w:tc>
      </w:tr>
      <w:tr w:rsidR="004814AE" w:rsidTr="00E3723D">
        <w:trPr>
          <w:trHeight w:val="242"/>
        </w:trPr>
        <w:tc>
          <w:tcPr>
            <w:tcW w:w="10620" w:type="dxa"/>
            <w:gridSpan w:val="7"/>
            <w:tcBorders>
              <w:left w:val="nil"/>
              <w:right w:val="nil"/>
            </w:tcBorders>
            <w:vAlign w:val="center"/>
          </w:tcPr>
          <w:p w:rsidR="004814AE" w:rsidRPr="000B4E53" w:rsidRDefault="004814AE" w:rsidP="00E372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AE" w:rsidTr="00E3723D">
        <w:trPr>
          <w:trHeight w:val="732"/>
        </w:trPr>
        <w:tc>
          <w:tcPr>
            <w:tcW w:w="10620" w:type="dxa"/>
            <w:gridSpan w:val="7"/>
            <w:vAlign w:val="center"/>
          </w:tcPr>
          <w:p w:rsidR="004814AE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1. </w:t>
            </w:r>
            <w:r w:rsidR="00EF0C54" w:rsidRPr="00DA0AE7">
              <w:rPr>
                <w:rFonts w:ascii="Arial" w:hAnsi="Arial"/>
                <w:b/>
              </w:rPr>
              <w:t>Označenie emitent</w:t>
            </w:r>
            <w:r w:rsidR="00DA0AE7">
              <w:rPr>
                <w:rFonts w:ascii="Arial" w:hAnsi="Arial"/>
                <w:b/>
              </w:rPr>
              <w:t xml:space="preserve">a </w:t>
            </w:r>
            <w:r w:rsidR="00DA0AE7" w:rsidRPr="00DA0AE7">
              <w:rPr>
                <w:rFonts w:ascii="Arial" w:hAnsi="Arial"/>
              </w:rPr>
              <w:t>(meno, sídlo, IČO, LEI)</w:t>
            </w:r>
            <w:r w:rsidR="00EF0C54" w:rsidRPr="00DA0AE7">
              <w:rPr>
                <w:rFonts w:ascii="Arial" w:hAnsi="Arial"/>
                <w:sz w:val="16"/>
                <w:vertAlign w:val="superscript"/>
              </w:rPr>
              <w:t xml:space="preserve"> </w:t>
            </w:r>
            <w:r w:rsidR="00DA0AE7">
              <w:rPr>
                <w:rFonts w:ascii="Arial" w:hAnsi="Arial"/>
                <w:sz w:val="16"/>
                <w:vertAlign w:val="superscript"/>
              </w:rPr>
              <w:t>2</w:t>
            </w:r>
            <w:r>
              <w:rPr>
                <w:rFonts w:ascii="Arial" w:hAnsi="Arial"/>
                <w:b/>
              </w:rPr>
              <w:t>:</w:t>
            </w:r>
            <w:r>
              <w:rPr>
                <w:rStyle w:val="EndnoteReference"/>
                <w:rFonts w:ascii="Arial" w:hAnsi="Arial"/>
              </w:rPr>
              <w:t xml:space="preserve"> </w:t>
            </w:r>
          </w:p>
          <w:p w:rsidR="004814AE" w:rsidRDefault="004814AE" w:rsidP="00E372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AE" w:rsidTr="00E3723D">
        <w:trPr>
          <w:trHeight w:val="440"/>
        </w:trPr>
        <w:tc>
          <w:tcPr>
            <w:tcW w:w="10620" w:type="dxa"/>
            <w:gridSpan w:val="7"/>
            <w:vAlign w:val="center"/>
          </w:tcPr>
          <w:p w:rsidR="004814AE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2. Dôvod oznámenia </w:t>
            </w:r>
            <w:r>
              <w:rPr>
                <w:rFonts w:ascii="Arial" w:hAnsi="Arial"/>
              </w:rPr>
              <w:t>(označte jednu alebo viac možností):</w:t>
            </w:r>
          </w:p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[ ] Nadobudnutie alebo prevod</w:t>
            </w:r>
            <w:r w:rsidR="00EF0C5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hlasovacích práv</w:t>
            </w:r>
          </w:p>
          <w:p w:rsidR="004814AE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[ ] Nadobudnutie alebo prevod finančných nástrojov</w:t>
            </w:r>
          </w:p>
          <w:p w:rsidR="004814AE" w:rsidRPr="00BE3ED6" w:rsidRDefault="004814AE" w:rsidP="00E3723D">
            <w:pPr>
              <w:rPr>
                <w:rFonts w:ascii="Arial" w:hAnsi="Arial" w:cs="Arial"/>
                <w:color w:val="FF0000"/>
                <w:vertAlign w:val="superscript"/>
              </w:rPr>
            </w:pPr>
            <w:r>
              <w:rPr>
                <w:rFonts w:ascii="Arial" w:hAnsi="Arial"/>
              </w:rPr>
              <w:t xml:space="preserve">[ ] </w:t>
            </w:r>
            <w:r w:rsidR="00EF0C54" w:rsidRPr="00DA0AE7">
              <w:rPr>
                <w:rFonts w:ascii="Arial" w:hAnsi="Arial"/>
              </w:rPr>
              <w:t>Zmena základného imania alebo celkového počtu hlasovacích práv</w:t>
            </w:r>
            <w:r w:rsidR="006873DC" w:rsidRPr="000E6A4C">
              <w:rPr>
                <w:rFonts w:ascii="Arial" w:hAnsi="Arial"/>
                <w:sz w:val="16"/>
                <w:szCs w:val="16"/>
                <w:vertAlign w:val="superscript"/>
              </w:rPr>
              <w:t>3</w:t>
            </w:r>
          </w:p>
          <w:p w:rsidR="004814AE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[ ] Iný dôvod (špecifikujte)</w:t>
            </w:r>
            <w:r w:rsidR="000E6A4C">
              <w:rPr>
                <w:rFonts w:ascii="Arial" w:hAnsi="Arial"/>
                <w:sz w:val="16"/>
                <w:vertAlign w:val="superscript"/>
              </w:rPr>
              <w:t>4</w:t>
            </w:r>
            <w:r>
              <w:rPr>
                <w:rFonts w:ascii="Arial" w:hAnsi="Arial"/>
              </w:rPr>
              <w:t>:</w:t>
            </w:r>
          </w:p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Tr="00E3723D">
        <w:trPr>
          <w:trHeight w:val="390"/>
        </w:trPr>
        <w:tc>
          <w:tcPr>
            <w:tcW w:w="10620" w:type="dxa"/>
            <w:gridSpan w:val="7"/>
            <w:tcBorders>
              <w:bottom w:val="nil"/>
            </w:tcBorders>
            <w:vAlign w:val="center"/>
          </w:tcPr>
          <w:p w:rsidR="004814AE" w:rsidRPr="000B4E53" w:rsidRDefault="004814AE" w:rsidP="000E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3. Údaje o osobe, na ktorú sa vzťahuje oznamovacia povin</w:t>
            </w:r>
            <w:r w:rsidR="000E6A4C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osť</w:t>
            </w:r>
            <w:r w:rsidR="000E6A4C">
              <w:rPr>
                <w:rFonts w:ascii="Arial" w:hAnsi="Arial"/>
                <w:sz w:val="16"/>
                <w:vertAlign w:val="superscript"/>
              </w:rPr>
              <w:t>5</w:t>
            </w:r>
            <w:r>
              <w:rPr>
                <w:rFonts w:ascii="Arial" w:hAnsi="Arial"/>
                <w:b/>
              </w:rPr>
              <w:t>:</w:t>
            </w:r>
            <w:r>
              <w:rPr>
                <w:rStyle w:val="EndnoteReference"/>
                <w:rFonts w:ascii="Arial" w:hAnsi="Arial"/>
              </w:rPr>
              <w:t xml:space="preserve"> </w:t>
            </w:r>
          </w:p>
        </w:tc>
      </w:tr>
      <w:tr w:rsidR="00336E0B" w:rsidTr="00336E0B">
        <w:trPr>
          <w:trHeight w:val="390"/>
        </w:trPr>
        <w:tc>
          <w:tcPr>
            <w:tcW w:w="4151" w:type="dxa"/>
            <w:gridSpan w:val="2"/>
            <w:tcBorders>
              <w:top w:val="nil"/>
            </w:tcBorders>
          </w:tcPr>
          <w:p w:rsidR="00336E0B" w:rsidRPr="00EA0649" w:rsidRDefault="00336E0B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Názov/Meno:</w:t>
            </w:r>
          </w:p>
        </w:tc>
        <w:tc>
          <w:tcPr>
            <w:tcW w:w="2968" w:type="dxa"/>
            <w:gridSpan w:val="3"/>
            <w:tcBorders>
              <w:top w:val="nil"/>
            </w:tcBorders>
          </w:tcPr>
          <w:p w:rsidR="00336E0B" w:rsidRPr="000E6A4C" w:rsidRDefault="00336E0B" w:rsidP="00336E0B">
            <w:pPr>
              <w:rPr>
                <w:rFonts w:ascii="Arial" w:hAnsi="Arial" w:cs="Arial"/>
              </w:rPr>
            </w:pPr>
            <w:r w:rsidRPr="000E6A4C">
              <w:rPr>
                <w:rFonts w:ascii="Arial" w:hAnsi="Arial"/>
              </w:rPr>
              <w:t>Adresa:</w:t>
            </w:r>
          </w:p>
        </w:tc>
        <w:tc>
          <w:tcPr>
            <w:tcW w:w="3501" w:type="dxa"/>
            <w:gridSpan w:val="2"/>
            <w:tcBorders>
              <w:top w:val="nil"/>
            </w:tcBorders>
            <w:vAlign w:val="center"/>
          </w:tcPr>
          <w:p w:rsidR="00336E0B" w:rsidRDefault="00336E0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  <w:p w:rsidR="00336E0B" w:rsidRPr="000E6A4C" w:rsidRDefault="00336E0B" w:rsidP="00336E0B">
            <w:pPr>
              <w:rPr>
                <w:rFonts w:ascii="Arial" w:hAnsi="Arial" w:cs="Arial"/>
              </w:rPr>
            </w:pPr>
          </w:p>
        </w:tc>
      </w:tr>
      <w:tr w:rsidR="004814AE" w:rsidTr="00E3723D">
        <w:trPr>
          <w:trHeight w:val="537"/>
        </w:trPr>
        <w:tc>
          <w:tcPr>
            <w:tcW w:w="10620" w:type="dxa"/>
            <w:gridSpan w:val="7"/>
            <w:vAlign w:val="center"/>
          </w:tcPr>
          <w:p w:rsidR="004814AE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4. </w:t>
            </w:r>
            <w:r w:rsidR="00EF0C54" w:rsidRPr="000E6A4C">
              <w:rPr>
                <w:rFonts w:ascii="Arial" w:hAnsi="Arial"/>
                <w:b/>
              </w:rPr>
              <w:t>Údaje o akcionáro</w:t>
            </w:r>
            <w:r w:rsidR="000E6A4C" w:rsidRPr="000E6A4C">
              <w:rPr>
                <w:rFonts w:ascii="Arial" w:hAnsi="Arial"/>
                <w:b/>
              </w:rPr>
              <w:t>vi</w:t>
            </w:r>
            <w:r w:rsidRPr="000E6A4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(ak sú iné ako v bode 3)</w:t>
            </w:r>
            <w:r w:rsidR="000E6A4C">
              <w:rPr>
                <w:rFonts w:ascii="Arial" w:hAnsi="Arial"/>
                <w:sz w:val="16"/>
                <w:vertAlign w:val="superscript"/>
              </w:rPr>
              <w:t>6</w:t>
            </w:r>
            <w:r>
              <w:rPr>
                <w:rFonts w:ascii="Arial" w:hAnsi="Arial"/>
              </w:rPr>
              <w:t>:</w:t>
            </w:r>
          </w:p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4AE" w:rsidRPr="00C02C65" w:rsidTr="00E3723D">
        <w:trPr>
          <w:trHeight w:val="419"/>
        </w:trPr>
        <w:tc>
          <w:tcPr>
            <w:tcW w:w="10620" w:type="dxa"/>
            <w:gridSpan w:val="7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5. Dátum dosiahnutia, presiahnutia alebo poklesu</w:t>
            </w:r>
            <w:r w:rsidR="000E6A4C">
              <w:rPr>
                <w:rFonts w:ascii="Arial" w:hAnsi="Arial"/>
                <w:b/>
              </w:rPr>
              <w:t xml:space="preserve"> limitu</w:t>
            </w:r>
            <w:r w:rsidR="000E6A4C">
              <w:rPr>
                <w:rFonts w:ascii="Arial" w:hAnsi="Arial"/>
                <w:sz w:val="16"/>
                <w:vertAlign w:val="superscript"/>
              </w:rPr>
              <w:t>7</w:t>
            </w:r>
            <w:r>
              <w:rPr>
                <w:rFonts w:ascii="Arial" w:hAnsi="Arial"/>
                <w:b/>
              </w:rPr>
              <w:t>:</w:t>
            </w:r>
          </w:p>
          <w:p w:rsidR="004814AE" w:rsidRPr="00C02C65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C02C65" w:rsidTr="00E3723D">
        <w:trPr>
          <w:trHeight w:val="555"/>
        </w:trPr>
        <w:tc>
          <w:tcPr>
            <w:tcW w:w="10620" w:type="dxa"/>
            <w:gridSpan w:val="7"/>
            <w:vAlign w:val="center"/>
          </w:tcPr>
          <w:p w:rsidR="004814AE" w:rsidRPr="00C02C65" w:rsidRDefault="004814AE" w:rsidP="000E6A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  <w:r w:rsidR="00EF0C54" w:rsidRPr="000E6A4C">
              <w:rPr>
                <w:rFonts w:ascii="Arial" w:hAnsi="Arial"/>
                <w:b/>
              </w:rPr>
              <w:t>Celkový podiel na hlasovacích právach</w:t>
            </w:r>
          </w:p>
        </w:tc>
      </w:tr>
      <w:tr w:rsidR="004814AE" w:rsidRPr="00C02C65" w:rsidTr="00E3723D">
        <w:trPr>
          <w:trHeight w:val="555"/>
        </w:trPr>
        <w:tc>
          <w:tcPr>
            <w:tcW w:w="2124" w:type="dxa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4814AE" w:rsidRPr="006B0D69" w:rsidRDefault="004814AE" w:rsidP="000E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% hlasovacích práv spojených s akciami (</w:t>
            </w:r>
            <w:r w:rsidRPr="000E6A4C">
              <w:rPr>
                <w:rFonts w:ascii="Arial" w:hAnsi="Arial"/>
                <w:sz w:val="20"/>
              </w:rPr>
              <w:t>celková</w:t>
            </w:r>
            <w:r w:rsidRPr="00293FEA">
              <w:rPr>
                <w:rFonts w:ascii="Arial" w:hAnsi="Arial"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hodnota 7.A)</w:t>
            </w:r>
          </w:p>
        </w:tc>
        <w:tc>
          <w:tcPr>
            <w:tcW w:w="2313" w:type="dxa"/>
            <w:vAlign w:val="center"/>
          </w:tcPr>
          <w:p w:rsidR="004814AE" w:rsidRPr="006B0D69" w:rsidRDefault="004814AE" w:rsidP="000E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% hlasovacích práv  </w:t>
            </w:r>
            <w:r w:rsidRPr="000E6A4C"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z w:val="20"/>
              </w:rPr>
              <w:br/>
              <w:t>finančných nástrojov (súčet 7.B.1 + 7.B.2)</w:t>
            </w:r>
          </w:p>
        </w:tc>
        <w:tc>
          <w:tcPr>
            <w:tcW w:w="2126" w:type="dxa"/>
            <w:gridSpan w:val="2"/>
            <w:vAlign w:val="center"/>
          </w:tcPr>
          <w:p w:rsidR="004814AE" w:rsidRPr="000E6A4C" w:rsidRDefault="004814AE" w:rsidP="00E3723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 xml:space="preserve">Súčet </w:t>
            </w:r>
            <w:r w:rsidRPr="000E6A4C">
              <w:rPr>
                <w:rFonts w:ascii="Arial" w:hAnsi="Arial"/>
                <w:sz w:val="20"/>
              </w:rPr>
              <w:t>oboch hodnôt</w:t>
            </w:r>
            <w:r>
              <w:rPr>
                <w:rFonts w:ascii="Arial" w:hAnsi="Arial"/>
                <w:sz w:val="20"/>
              </w:rPr>
              <w:t xml:space="preserve"> v % (7.A + 7.B)</w:t>
            </w:r>
            <w:r w:rsidR="000E6A4C">
              <w:rPr>
                <w:rFonts w:ascii="Arial" w:hAnsi="Arial"/>
                <w:sz w:val="20"/>
                <w:vertAlign w:val="superscript"/>
              </w:rPr>
              <w:t>8</w:t>
            </w:r>
          </w:p>
        </w:tc>
        <w:tc>
          <w:tcPr>
            <w:tcW w:w="1933" w:type="dxa"/>
            <w:vAlign w:val="center"/>
          </w:tcPr>
          <w:p w:rsidR="004814AE" w:rsidRPr="006B0D69" w:rsidRDefault="004814AE" w:rsidP="000E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Celkový počet hlasovacích práv emitenta</w:t>
            </w:r>
            <w:r w:rsidR="000E6A4C">
              <w:rPr>
                <w:rFonts w:ascii="Arial" w:hAnsi="Arial"/>
                <w:sz w:val="16"/>
                <w:vertAlign w:val="superscript"/>
              </w:rPr>
              <w:t>9</w:t>
            </w:r>
          </w:p>
        </w:tc>
      </w:tr>
      <w:tr w:rsidR="004814AE" w:rsidRPr="00C02C65" w:rsidTr="00E3723D">
        <w:trPr>
          <w:trHeight w:val="555"/>
        </w:trPr>
        <w:tc>
          <w:tcPr>
            <w:tcW w:w="2124" w:type="dxa"/>
            <w:vAlign w:val="center"/>
          </w:tcPr>
          <w:p w:rsidR="004814AE" w:rsidRPr="006578B4" w:rsidRDefault="004814AE" w:rsidP="000E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Výsledn</w:t>
            </w:r>
            <w:r w:rsidR="000E6A4C">
              <w:rPr>
                <w:rFonts w:ascii="Arial" w:hAnsi="Arial"/>
                <w:sz w:val="20"/>
              </w:rPr>
              <w:t>á</w:t>
            </w:r>
            <w:r>
              <w:rPr>
                <w:rFonts w:ascii="Arial" w:hAnsi="Arial"/>
                <w:sz w:val="20"/>
              </w:rPr>
              <w:t xml:space="preserve"> </w:t>
            </w:r>
            <w:r w:rsidR="000E6A4C">
              <w:rPr>
                <w:rFonts w:ascii="Arial" w:hAnsi="Arial"/>
                <w:sz w:val="20"/>
              </w:rPr>
              <w:t>výška podielu</w:t>
            </w:r>
          </w:p>
        </w:tc>
        <w:tc>
          <w:tcPr>
            <w:tcW w:w="2124" w:type="dxa"/>
            <w:gridSpan w:val="2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C02C65" w:rsidTr="00E3723D">
        <w:trPr>
          <w:trHeight w:val="555"/>
        </w:trPr>
        <w:tc>
          <w:tcPr>
            <w:tcW w:w="2124" w:type="dxa"/>
            <w:vAlign w:val="center"/>
          </w:tcPr>
          <w:p w:rsidR="004814AE" w:rsidRPr="006B0D69" w:rsidRDefault="004814AE" w:rsidP="00E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Stav z predošlého oznámenia (ak je to relevantné)</w:t>
            </w:r>
          </w:p>
        </w:tc>
        <w:tc>
          <w:tcPr>
            <w:tcW w:w="2124" w:type="dxa"/>
            <w:gridSpan w:val="2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  <w:shd w:val="thinDiagStripe" w:color="auto" w:fill="auto"/>
            <w:vAlign w:val="center"/>
          </w:tcPr>
          <w:p w:rsidR="004814AE" w:rsidRPr="00C02C65" w:rsidRDefault="004814AE" w:rsidP="00E3723D">
            <w:pPr>
              <w:rPr>
                <w:rFonts w:ascii="Arial" w:hAnsi="Arial" w:cs="Arial"/>
              </w:rPr>
            </w:pPr>
          </w:p>
        </w:tc>
      </w:tr>
    </w:tbl>
    <w:p w:rsidR="004814AE" w:rsidRPr="00C02C65" w:rsidRDefault="004814AE" w:rsidP="004814AE">
      <w:pPr>
        <w:rPr>
          <w:rFonts w:ascii="Arial" w:hAnsi="Arial" w:cs="Arial"/>
        </w:rPr>
      </w:pPr>
    </w:p>
    <w:p w:rsidR="004814AE" w:rsidRDefault="004814AE" w:rsidP="004814AE">
      <w:r>
        <w:br w:type="page"/>
      </w:r>
    </w:p>
    <w:p w:rsidR="004814AE" w:rsidRDefault="004814AE" w:rsidP="004814AE"/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268"/>
        <w:gridCol w:w="2268"/>
        <w:gridCol w:w="2126"/>
        <w:gridCol w:w="2132"/>
      </w:tblGrid>
      <w:tr w:rsidR="004814AE" w:rsidRPr="00002001" w:rsidTr="00E3723D">
        <w:trPr>
          <w:trHeight w:val="326"/>
          <w:jc w:val="center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58A5" w:rsidRPr="00E079EB" w:rsidRDefault="004814AE" w:rsidP="00E079EB">
            <w:pPr>
              <w:rPr>
                <w:rFonts w:ascii="Arial" w:hAnsi="Arial"/>
                <w:b/>
              </w:rPr>
            </w:pPr>
            <w:r>
              <w:br w:type="page"/>
            </w:r>
            <w:r>
              <w:rPr>
                <w:rFonts w:ascii="Arial" w:hAnsi="Arial"/>
                <w:b/>
              </w:rPr>
              <w:t xml:space="preserve">7. </w:t>
            </w:r>
            <w:r w:rsidR="00E079EB">
              <w:rPr>
                <w:rFonts w:ascii="Arial" w:hAnsi="Arial"/>
                <w:b/>
              </w:rPr>
              <w:t>Podrobnosti k výslednej výške podielu</w:t>
            </w:r>
            <w:r w:rsidR="00E079EB">
              <w:rPr>
                <w:rFonts w:ascii="Arial" w:hAnsi="Arial"/>
                <w:sz w:val="16"/>
                <w:vertAlign w:val="superscript"/>
              </w:rPr>
              <w:t>10</w:t>
            </w:r>
            <w:r>
              <w:rPr>
                <w:rFonts w:ascii="Arial" w:hAnsi="Arial"/>
                <w:b/>
              </w:rPr>
              <w:t>:</w:t>
            </w:r>
            <w:r w:rsidR="005758A5">
              <w:rPr>
                <w:rFonts w:ascii="Arial" w:hAnsi="Arial"/>
                <w:b/>
              </w:rPr>
              <w:t xml:space="preserve"> </w:t>
            </w:r>
          </w:p>
        </w:tc>
      </w:tr>
      <w:tr w:rsidR="00336E0B" w:rsidRPr="00002001" w:rsidTr="00336E0B">
        <w:trPr>
          <w:trHeight w:val="326"/>
          <w:jc w:val="center"/>
        </w:trPr>
        <w:tc>
          <w:tcPr>
            <w:tcW w:w="10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E0B" w:rsidRDefault="00336E0B" w:rsidP="00E079EB"/>
        </w:tc>
      </w:tr>
      <w:tr w:rsidR="004814AE" w:rsidRPr="00002001" w:rsidTr="00E3723D">
        <w:trPr>
          <w:trHeight w:val="458"/>
          <w:jc w:val="center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4AE" w:rsidRPr="000B4E53" w:rsidRDefault="004814AE" w:rsidP="00E372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A: Hlasovacie práva spojené s akciami</w:t>
            </w:r>
          </w:p>
        </w:tc>
      </w:tr>
      <w:tr w:rsidR="004814AE" w:rsidRPr="00002001" w:rsidTr="00E3723D">
        <w:trPr>
          <w:trHeight w:val="386"/>
          <w:jc w:val="center"/>
        </w:trPr>
        <w:tc>
          <w:tcPr>
            <w:tcW w:w="19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akcií</w:t>
            </w:r>
          </w:p>
          <w:p w:rsidR="00E079EB" w:rsidRDefault="004814AE" w:rsidP="00E3723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ISIN kód </w:t>
            </w:r>
          </w:p>
          <w:p w:rsidR="004814AE" w:rsidRPr="004D4E06" w:rsidRDefault="004814AE" w:rsidP="00E3723D">
            <w:pPr>
              <w:rPr>
                <w:rFonts w:ascii="Arial" w:hAnsi="Arial" w:cs="Arial"/>
                <w:sz w:val="20"/>
                <w:szCs w:val="20"/>
              </w:rPr>
            </w:pPr>
            <w:r w:rsidRPr="00E079EB">
              <w:rPr>
                <w:rFonts w:ascii="Arial" w:hAnsi="Arial"/>
                <w:sz w:val="18"/>
                <w:szCs w:val="18"/>
              </w:rPr>
              <w:t>(ak je k dispozícií)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4AE" w:rsidRPr="004D4E06" w:rsidRDefault="004814AE" w:rsidP="00E07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Počet hlasovacích práv</w:t>
            </w:r>
            <w:r w:rsidR="00E079EB">
              <w:rPr>
                <w:rFonts w:ascii="Arial" w:hAnsi="Arial"/>
                <w:sz w:val="16"/>
                <w:vertAlign w:val="superscript"/>
              </w:rPr>
              <w:t>11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4AE" w:rsidRPr="004D4E06" w:rsidRDefault="004814AE" w:rsidP="00E07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 hlasovacích práv</w:t>
            </w: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4"/>
          <w:jc w:val="center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Default="004814AE" w:rsidP="00E3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Priame</w:t>
            </w:r>
          </w:p>
          <w:p w:rsidR="004814AE" w:rsidRPr="00D243C6" w:rsidRDefault="004814AE" w:rsidP="00E372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(§ 41 ods. 1 </w:t>
            </w:r>
            <w:proofErr w:type="spellStart"/>
            <w:r>
              <w:rPr>
                <w:rFonts w:ascii="Arial" w:hAnsi="Arial"/>
                <w:sz w:val="16"/>
              </w:rPr>
              <w:t>ZoBurze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Default="004814AE" w:rsidP="00E3723D">
            <w:pPr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>Nepriame</w:t>
            </w:r>
          </w:p>
          <w:p w:rsidR="004814AE" w:rsidRPr="000B4E53" w:rsidRDefault="004814AE" w:rsidP="00E3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 xml:space="preserve">(§ 41 ods. 9 </w:t>
            </w:r>
            <w:proofErr w:type="spellStart"/>
            <w:r>
              <w:rPr>
                <w:rFonts w:ascii="Arial" w:hAnsi="Arial"/>
                <w:sz w:val="16"/>
              </w:rPr>
              <w:t>ZoBurze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Default="004814AE" w:rsidP="00E3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Priame</w:t>
            </w:r>
          </w:p>
          <w:p w:rsidR="004814AE" w:rsidRPr="000B4E53" w:rsidRDefault="004814AE" w:rsidP="00E3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 xml:space="preserve">(§ 41 ods. 1 </w:t>
            </w:r>
            <w:proofErr w:type="spellStart"/>
            <w:r>
              <w:rPr>
                <w:rFonts w:ascii="Arial" w:hAnsi="Arial"/>
                <w:sz w:val="16"/>
              </w:rPr>
              <w:t>ZoBurze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Default="004814AE" w:rsidP="00E3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Nepriame</w:t>
            </w:r>
          </w:p>
          <w:p w:rsidR="004814AE" w:rsidRPr="000B4E53" w:rsidRDefault="004814AE" w:rsidP="00E3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 xml:space="preserve">(§ 41 ods. 9 </w:t>
            </w:r>
            <w:proofErr w:type="spellStart"/>
            <w:r>
              <w:rPr>
                <w:rFonts w:ascii="Arial" w:hAnsi="Arial"/>
                <w:sz w:val="16"/>
              </w:rPr>
              <w:t>ZoBurze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Medzisúčet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4D4E06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</w:tbl>
    <w:p w:rsidR="004814AE" w:rsidRDefault="004814AE" w:rsidP="004814AE"/>
    <w:p w:rsidR="004814AE" w:rsidRDefault="004814AE" w:rsidP="004814AE"/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276"/>
        <w:gridCol w:w="2126"/>
        <w:gridCol w:w="425"/>
        <w:gridCol w:w="1560"/>
        <w:gridCol w:w="1391"/>
        <w:gridCol w:w="310"/>
        <w:gridCol w:w="1706"/>
      </w:tblGrid>
      <w:tr w:rsidR="004814AE" w:rsidRPr="00002001" w:rsidTr="00E3723D">
        <w:trPr>
          <w:trHeight w:val="530"/>
          <w:jc w:val="center"/>
        </w:trPr>
        <w:tc>
          <w:tcPr>
            <w:tcW w:w="10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4AE" w:rsidRPr="000B4E53" w:rsidRDefault="004814AE" w:rsidP="00E079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 1: Finančné nástroje </w:t>
            </w:r>
            <w:r w:rsidRPr="00E079EB">
              <w:rPr>
                <w:rFonts w:ascii="Arial" w:hAnsi="Arial"/>
                <w:b/>
              </w:rPr>
              <w:t xml:space="preserve">umožňujúce nadobudnutie akcií podľa </w:t>
            </w:r>
            <w:r>
              <w:rPr>
                <w:rFonts w:ascii="Arial" w:hAnsi="Arial"/>
                <w:b/>
              </w:rPr>
              <w:t xml:space="preserve">§ 43 ods. 1 písm. a) </w:t>
            </w:r>
            <w:proofErr w:type="spellStart"/>
            <w:r>
              <w:rPr>
                <w:rFonts w:ascii="Arial" w:hAnsi="Arial"/>
                <w:b/>
              </w:rPr>
              <w:t>ZoBurze</w:t>
            </w:r>
            <w:proofErr w:type="spellEnd"/>
          </w:p>
        </w:tc>
      </w:tr>
      <w:tr w:rsidR="004814AE" w:rsidRPr="00002001" w:rsidTr="00E3723D">
        <w:trPr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B83ACF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finančného nástroja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B4E53" w:rsidRDefault="004814AE" w:rsidP="00E079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Dátum </w:t>
            </w:r>
            <w:r w:rsidRPr="007501B5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</w:r>
            <w:r w:rsidRPr="00E079EB">
              <w:rPr>
                <w:rFonts w:ascii="Arial" w:hAnsi="Arial"/>
                <w:b/>
                <w:sz w:val="20"/>
              </w:rPr>
              <w:t>expirácie</w:t>
            </w:r>
            <w:r w:rsidR="00E079EB">
              <w:rPr>
                <w:rFonts w:ascii="Arial" w:hAnsi="Arial"/>
                <w:sz w:val="16"/>
                <w:vertAlign w:val="superscript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E079EB" w:rsidRDefault="007501B5" w:rsidP="00E372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E079EB">
              <w:rPr>
                <w:rFonts w:ascii="Arial" w:hAnsi="Arial" w:cs="Arial"/>
                <w:b/>
                <w:sz w:val="20"/>
                <w:szCs w:val="20"/>
              </w:rPr>
              <w:t>Lehota na uplatnenie práva</w:t>
            </w:r>
            <w:r w:rsidR="00E079EB" w:rsidRPr="00E079EB">
              <w:rPr>
                <w:rFonts w:ascii="Arial" w:hAnsi="Arial" w:cs="Arial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7501B5" w:rsidRDefault="004814AE" w:rsidP="00E079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Počet hlasovacích práv, ktoré možno nadobudnúť </w:t>
            </w:r>
            <w:r>
              <w:rPr>
                <w:rFonts w:ascii="Arial" w:hAnsi="Arial"/>
                <w:b/>
                <w:sz w:val="20"/>
              </w:rPr>
              <w:br/>
              <w:t xml:space="preserve">v prípade </w:t>
            </w:r>
            <w:r w:rsidR="007501B5" w:rsidRPr="00E079EB">
              <w:rPr>
                <w:rFonts w:ascii="Arial" w:hAnsi="Arial"/>
                <w:b/>
                <w:sz w:val="20"/>
              </w:rPr>
              <w:t>uplatnenie práva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4AE" w:rsidRPr="0027431A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 hlasovacích práv</w:t>
            </w: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E96684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Medzisúčet B.1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29" w:type="dxa"/>
            <w:gridSpan w:val="8"/>
          </w:tcPr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408"/>
          <w:jc w:val="center"/>
        </w:trPr>
        <w:tc>
          <w:tcPr>
            <w:tcW w:w="107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4AE" w:rsidRPr="000B4E53" w:rsidRDefault="004814AE" w:rsidP="005758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 2: Finančné nástroje s podobným ekonomickým účinkom podľa § 43 ods. 1 písm. b) </w:t>
            </w:r>
            <w:proofErr w:type="spellStart"/>
            <w:r>
              <w:rPr>
                <w:rFonts w:ascii="Arial" w:hAnsi="Arial"/>
                <w:b/>
              </w:rPr>
              <w:t>ZoBurze</w:t>
            </w:r>
            <w:proofErr w:type="spellEnd"/>
          </w:p>
        </w:tc>
      </w:tr>
      <w:tr w:rsidR="004814AE" w:rsidRPr="00002001" w:rsidTr="00E3723D">
        <w:trPr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B83ACF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Druh finančného nástroja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B4E53" w:rsidRDefault="004814AE" w:rsidP="003C18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Dátum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1866">
              <w:rPr>
                <w:rFonts w:ascii="Arial" w:hAnsi="Arial"/>
                <w:b/>
                <w:sz w:val="20"/>
              </w:rPr>
              <w:t>expirácie</w:t>
            </w:r>
            <w:r w:rsidR="003C1866">
              <w:rPr>
                <w:rFonts w:ascii="Arial" w:hAnsi="Arial"/>
                <w:sz w:val="16"/>
                <w:vertAlign w:val="superscript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B4E53" w:rsidRDefault="003C1866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9EB">
              <w:rPr>
                <w:rFonts w:ascii="Arial" w:hAnsi="Arial" w:cs="Arial"/>
                <w:b/>
                <w:sz w:val="20"/>
                <w:szCs w:val="20"/>
              </w:rPr>
              <w:t>Lehota na uplatnenie práva</w:t>
            </w:r>
            <w:r w:rsidRPr="00E079EB">
              <w:rPr>
                <w:rFonts w:ascii="Arial" w:hAnsi="Arial" w:cs="Arial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B4E53" w:rsidRDefault="004814AE" w:rsidP="003C18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Fyzické </w:t>
            </w:r>
            <w:r w:rsidR="003C1866">
              <w:rPr>
                <w:rFonts w:ascii="Arial" w:hAnsi="Arial"/>
                <w:b/>
                <w:sz w:val="20"/>
              </w:rPr>
              <w:t xml:space="preserve">vyrovnanie </w:t>
            </w:r>
            <w:r>
              <w:rPr>
                <w:rFonts w:ascii="Arial" w:hAnsi="Arial"/>
                <w:b/>
                <w:sz w:val="20"/>
              </w:rPr>
              <w:t xml:space="preserve">alebo </w:t>
            </w:r>
            <w:r w:rsidR="003C1866">
              <w:rPr>
                <w:rFonts w:ascii="Arial" w:hAnsi="Arial"/>
                <w:b/>
                <w:sz w:val="20"/>
              </w:rPr>
              <w:t>vyrovnanie v hotovosti</w:t>
            </w:r>
            <w:r w:rsidR="003C1866">
              <w:rPr>
                <w:rFonts w:ascii="Arial" w:hAnsi="Arial"/>
                <w:sz w:val="16"/>
                <w:vertAlign w:val="superscript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4AE" w:rsidRPr="00AA0444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Počet hlasovacích práv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4AE" w:rsidRPr="000B4E53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% hlasovacích práv</w:t>
            </w: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B4E53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B4E53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4AE" w:rsidRPr="00AA0444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4AE" w:rsidRPr="000B4E53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481"/>
          <w:jc w:val="center"/>
        </w:trPr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14AE" w:rsidRPr="00E96684" w:rsidRDefault="004814AE" w:rsidP="00E37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0"/>
              </w:rPr>
              <w:t>Medzisúčet B.2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29" w:type="dxa"/>
            <w:gridSpan w:val="8"/>
          </w:tcPr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814AE" w:rsidRDefault="004814AE" w:rsidP="00E3723D">
            <w:pPr>
              <w:rPr>
                <w:rFonts w:ascii="Arial" w:hAnsi="Arial" w:cs="Arial"/>
              </w:rPr>
            </w:pPr>
          </w:p>
          <w:p w:rsidR="004136BC" w:rsidRPr="000B4E53" w:rsidRDefault="004136BC" w:rsidP="00E3723D">
            <w:pPr>
              <w:rPr>
                <w:rFonts w:ascii="Arial" w:hAnsi="Arial" w:cs="Arial"/>
              </w:rPr>
            </w:pPr>
          </w:p>
        </w:tc>
      </w:tr>
    </w:tbl>
    <w:p w:rsidR="004814AE" w:rsidRDefault="004814AE" w:rsidP="004814AE"/>
    <w:p w:rsidR="004814AE" w:rsidRDefault="004814AE" w:rsidP="004814AE"/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2655"/>
        <w:gridCol w:w="2655"/>
      </w:tblGrid>
      <w:tr w:rsidR="004814AE" w:rsidRPr="00002001" w:rsidTr="00E3723D">
        <w:trPr>
          <w:trHeight w:val="1047"/>
        </w:trPr>
        <w:tc>
          <w:tcPr>
            <w:tcW w:w="10620" w:type="dxa"/>
            <w:gridSpan w:val="4"/>
            <w:tcBorders>
              <w:bottom w:val="nil"/>
            </w:tcBorders>
          </w:tcPr>
          <w:p w:rsidR="00175366" w:rsidRDefault="004814AE" w:rsidP="00E372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8. Informácie o osobe, na ktorú sa vzťahuje oznamovacia povinnosť </w:t>
            </w:r>
          </w:p>
          <w:p w:rsidR="004814AE" w:rsidRDefault="004814AE" w:rsidP="00E372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 xml:space="preserve">(označte </w:t>
            </w:r>
            <w:r w:rsidR="007501B5" w:rsidRPr="00175366">
              <w:rPr>
                <w:rFonts w:ascii="Arial" w:hAnsi="Arial"/>
              </w:rPr>
              <w:t>zodpovedajúcu</w:t>
            </w:r>
            <w:r w:rsidRPr="0017536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možnosť)</w:t>
            </w:r>
            <w:r>
              <w:rPr>
                <w:rFonts w:ascii="Arial" w:hAnsi="Arial"/>
                <w:b/>
              </w:rPr>
              <w:t>:</w:t>
            </w:r>
          </w:p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Pr="00175366" w:rsidRDefault="004814AE" w:rsidP="00175366">
            <w:pPr>
              <w:jc w:val="both"/>
              <w:rPr>
                <w:rFonts w:ascii="Arial" w:hAnsi="Arial" w:cs="Arial"/>
                <w:b/>
                <w:szCs w:val="22"/>
                <w:vertAlign w:val="superscript"/>
              </w:rPr>
            </w:pPr>
            <w:r>
              <w:rPr>
                <w:rFonts w:ascii="Arial" w:hAnsi="Arial"/>
                <w:b/>
              </w:rPr>
              <w:t>[ ]</w:t>
            </w:r>
            <w:r w:rsidR="007501B5">
              <w:rPr>
                <w:rFonts w:ascii="Arial" w:hAnsi="Arial"/>
                <w:sz w:val="16"/>
              </w:rPr>
              <w:t xml:space="preserve"> </w:t>
            </w:r>
            <w:r w:rsidR="007501B5" w:rsidRPr="00175366">
              <w:rPr>
                <w:rFonts w:ascii="Arial" w:hAnsi="Arial"/>
                <w:b/>
                <w:szCs w:val="22"/>
              </w:rPr>
              <w:t xml:space="preserve">Osoba, na ktorú sa vzťahuje oznamovacia povinnosť, nie je ovládaná žiadnou fyzickou ani právnickou osobou a zároveň </w:t>
            </w:r>
            <w:r w:rsidR="00705E0C" w:rsidRPr="00175366">
              <w:rPr>
                <w:rFonts w:ascii="Arial" w:hAnsi="Arial"/>
                <w:b/>
                <w:szCs w:val="22"/>
              </w:rPr>
              <w:t>sama neovláda inú osobu s priamym alebo nepriam</w:t>
            </w:r>
            <w:r w:rsidR="00175366" w:rsidRPr="00175366">
              <w:rPr>
                <w:rFonts w:ascii="Arial" w:hAnsi="Arial"/>
                <w:b/>
                <w:szCs w:val="22"/>
              </w:rPr>
              <w:t>y</w:t>
            </w:r>
            <w:r w:rsidR="00705E0C" w:rsidRPr="00175366">
              <w:rPr>
                <w:rFonts w:ascii="Arial" w:hAnsi="Arial"/>
                <w:b/>
                <w:szCs w:val="22"/>
              </w:rPr>
              <w:t>m podielom na hlasovacích právach emitenta</w:t>
            </w:r>
            <w:r w:rsidR="00175366" w:rsidRPr="00175366">
              <w:rPr>
                <w:rFonts w:ascii="Arial" w:hAnsi="Arial"/>
                <w:sz w:val="16"/>
                <w:szCs w:val="16"/>
                <w:vertAlign w:val="superscript"/>
              </w:rPr>
              <w:t>15</w:t>
            </w:r>
          </w:p>
          <w:p w:rsidR="004814AE" w:rsidRPr="00705E0C" w:rsidRDefault="004814AE" w:rsidP="00E3723D">
            <w:pPr>
              <w:rPr>
                <w:rFonts w:ascii="Arial" w:hAnsi="Arial" w:cs="Arial"/>
                <w:b/>
                <w:color w:val="FF0000"/>
              </w:rPr>
            </w:pPr>
          </w:p>
          <w:p w:rsidR="004814AE" w:rsidRPr="00175366" w:rsidRDefault="004814AE" w:rsidP="001753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[ ] </w:t>
            </w:r>
            <w:r w:rsidR="00705E0C" w:rsidRPr="00175366">
              <w:rPr>
                <w:rFonts w:ascii="Arial" w:hAnsi="Arial"/>
                <w:b/>
                <w:u w:val="single"/>
              </w:rPr>
              <w:t>Úplný</w:t>
            </w:r>
            <w:r w:rsidR="00705E0C" w:rsidRPr="00175366">
              <w:rPr>
                <w:rFonts w:ascii="Arial" w:hAnsi="Arial"/>
                <w:b/>
              </w:rPr>
              <w:t xml:space="preserve"> reťazec ovládajúcich a ovládaných osôb, prostredníctvom ktorých sú hlasovacie práva a/alebo finančné nástroje skutočne držané, počnúc najvyššie postavenou ovládajúcou osobou</w:t>
            </w:r>
            <w:r w:rsidR="00175366">
              <w:rPr>
                <w:rFonts w:ascii="Arial" w:hAnsi="Arial"/>
                <w:b/>
                <w:sz w:val="16"/>
                <w:szCs w:val="16"/>
                <w:vertAlign w:val="superscript"/>
              </w:rPr>
              <w:t>16</w:t>
            </w:r>
            <w:r w:rsidR="00705E0C" w:rsidRPr="00175366">
              <w:rPr>
                <w:rFonts w:ascii="Arial" w:hAnsi="Arial"/>
                <w:b/>
              </w:rPr>
              <w:t>:</w:t>
            </w:r>
          </w:p>
          <w:p w:rsidR="004814AE" w:rsidRPr="000B4E53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1149"/>
        </w:trPr>
        <w:tc>
          <w:tcPr>
            <w:tcW w:w="2655" w:type="dxa"/>
            <w:tcBorders>
              <w:top w:val="nil"/>
            </w:tcBorders>
            <w:vAlign w:val="center"/>
          </w:tcPr>
          <w:p w:rsidR="004814AE" w:rsidRPr="009E759C" w:rsidRDefault="004814AE" w:rsidP="001753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Názov</w:t>
            </w:r>
            <w:r w:rsidR="00175366">
              <w:rPr>
                <w:rFonts w:ascii="Arial" w:hAnsi="Arial"/>
                <w:b/>
              </w:rPr>
              <w:t>/Meno</w:t>
            </w:r>
            <w:r w:rsidR="00175366">
              <w:rPr>
                <w:rFonts w:ascii="Arial" w:hAnsi="Arial"/>
                <w:sz w:val="16"/>
                <w:vertAlign w:val="superscript"/>
              </w:rPr>
              <w:t>17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175366" w:rsidRDefault="004E299C" w:rsidP="004E299C">
            <w:pPr>
              <w:jc w:val="center"/>
              <w:rPr>
                <w:rFonts w:ascii="Arial" w:hAnsi="Arial"/>
                <w:b/>
              </w:rPr>
            </w:pPr>
            <w:r w:rsidRPr="00175366">
              <w:rPr>
                <w:rFonts w:ascii="Arial" w:hAnsi="Arial"/>
                <w:b/>
              </w:rPr>
              <w:t xml:space="preserve">% priamych alebo nepriamych hlasovacích práv </w:t>
            </w:r>
          </w:p>
          <w:p w:rsidR="004E299C" w:rsidRDefault="004E299C" w:rsidP="004E299C">
            <w:pPr>
              <w:jc w:val="center"/>
              <w:rPr>
                <w:rFonts w:ascii="Arial" w:hAnsi="Arial" w:cs="Arial"/>
                <w:b/>
              </w:rPr>
            </w:pPr>
            <w:r w:rsidRPr="00175366">
              <w:rPr>
                <w:rFonts w:ascii="Arial" w:hAnsi="Arial"/>
                <w:b/>
              </w:rPr>
              <w:t xml:space="preserve">(§ 41 ods. 1 </w:t>
            </w:r>
            <w:proofErr w:type="spellStart"/>
            <w:r w:rsidRPr="00175366">
              <w:rPr>
                <w:rFonts w:ascii="Arial" w:hAnsi="Arial"/>
                <w:b/>
              </w:rPr>
              <w:t>ZoBurze</w:t>
            </w:r>
            <w:proofErr w:type="spellEnd"/>
            <w:r w:rsidRPr="00175366">
              <w:rPr>
                <w:rFonts w:ascii="Arial" w:hAnsi="Arial"/>
                <w:b/>
              </w:rPr>
              <w:t xml:space="preserve"> a § 41 ods. 9 </w:t>
            </w:r>
            <w:proofErr w:type="spellStart"/>
            <w:r w:rsidRPr="00175366">
              <w:rPr>
                <w:rFonts w:ascii="Arial" w:hAnsi="Arial"/>
                <w:b/>
              </w:rPr>
              <w:t>ZoBurze</w:t>
            </w:r>
            <w:proofErr w:type="spellEnd"/>
            <w:r w:rsidRPr="00175366">
              <w:rPr>
                <w:rFonts w:ascii="Arial" w:hAnsi="Arial"/>
                <w:b/>
              </w:rPr>
              <w:t>)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4E299C" w:rsidRDefault="004E299C" w:rsidP="00175366">
            <w:pPr>
              <w:jc w:val="center"/>
              <w:rPr>
                <w:rFonts w:ascii="Arial" w:hAnsi="Arial" w:cs="Arial"/>
                <w:b/>
              </w:rPr>
            </w:pPr>
            <w:r w:rsidRPr="00175366">
              <w:rPr>
                <w:rFonts w:ascii="Arial" w:hAnsi="Arial"/>
                <w:b/>
              </w:rPr>
              <w:t xml:space="preserve">% hlasovacích práv z finančných nástrojov (§ 43 ods. 1 písm. a) a písm. b) </w:t>
            </w:r>
            <w:proofErr w:type="spellStart"/>
            <w:r w:rsidRPr="00175366">
              <w:rPr>
                <w:rFonts w:ascii="Arial" w:hAnsi="Arial"/>
                <w:b/>
              </w:rPr>
              <w:t>ZoBurze</w:t>
            </w:r>
            <w:proofErr w:type="spellEnd"/>
            <w:r w:rsidRPr="00175366">
              <w:rPr>
                <w:rFonts w:ascii="Arial" w:hAnsi="Arial"/>
                <w:b/>
              </w:rPr>
              <w:t>)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4E299C" w:rsidRPr="00175366" w:rsidRDefault="004E299C" w:rsidP="00E3723D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175366">
              <w:rPr>
                <w:rFonts w:ascii="Arial" w:hAnsi="Arial" w:cs="Arial"/>
                <w:b/>
              </w:rPr>
              <w:t>Celkovo v %</w:t>
            </w:r>
            <w:r w:rsidR="00175366" w:rsidRPr="004136BC">
              <w:rPr>
                <w:rFonts w:ascii="Arial" w:hAnsi="Arial" w:cs="Arial"/>
                <w:sz w:val="16"/>
                <w:szCs w:val="16"/>
                <w:vertAlign w:val="superscript"/>
              </w:rPr>
              <w:t>18</w:t>
            </w:r>
          </w:p>
        </w:tc>
      </w:tr>
      <w:tr w:rsidR="004814AE" w:rsidRPr="00002001" w:rsidTr="00E3723D">
        <w:trPr>
          <w:trHeight w:val="440"/>
        </w:trPr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440"/>
        </w:trPr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440"/>
        </w:trPr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440"/>
        </w:trPr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440"/>
        </w:trPr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</w:tcPr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710"/>
        </w:trPr>
        <w:tc>
          <w:tcPr>
            <w:tcW w:w="10620" w:type="dxa"/>
            <w:gridSpan w:val="4"/>
            <w:tcBorders>
              <w:left w:val="nil"/>
              <w:right w:val="nil"/>
            </w:tcBorders>
          </w:tcPr>
          <w:p w:rsidR="004814AE" w:rsidRPr="000B4E53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694"/>
        </w:trPr>
        <w:tc>
          <w:tcPr>
            <w:tcW w:w="10620" w:type="dxa"/>
            <w:gridSpan w:val="4"/>
            <w:vAlign w:val="center"/>
          </w:tcPr>
          <w:p w:rsidR="004814AE" w:rsidRPr="00DF07DD" w:rsidRDefault="00DF07DD" w:rsidP="00E372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  <w:r w:rsidR="00B17FCA" w:rsidRPr="00AC4D4F">
              <w:rPr>
                <w:rFonts w:ascii="TimesNewRomanPSMT" w:hAnsi="TimesNewRomanPSMT"/>
                <w:b/>
                <w:color w:val="FF0000"/>
              </w:rPr>
              <w:t xml:space="preserve"> </w:t>
            </w:r>
            <w:r w:rsidR="00AC4D4F" w:rsidRPr="00DF07DD">
              <w:rPr>
                <w:rFonts w:ascii="Arial" w:hAnsi="Arial" w:cs="Arial"/>
                <w:b/>
              </w:rPr>
              <w:t>V prípade splnomocnenia pre účely valného zhromaždenia: (meno/názov splnomocnenej</w:t>
            </w:r>
            <w:r w:rsidRPr="00DF07DD">
              <w:rPr>
                <w:rFonts w:ascii="Arial" w:hAnsi="Arial" w:cs="Arial"/>
                <w:b/>
              </w:rPr>
              <w:t xml:space="preserve"> osoby</w:t>
            </w:r>
            <w:r w:rsidR="00AC4D4F" w:rsidRPr="00DF07DD">
              <w:rPr>
                <w:rFonts w:ascii="Arial" w:hAnsi="Arial" w:cs="Arial"/>
                <w:b/>
              </w:rPr>
              <w:t xml:space="preserve">) </w:t>
            </w:r>
            <w:r w:rsidRPr="00DF07DD">
              <w:rPr>
                <w:rFonts w:ascii="Arial" w:hAnsi="Arial" w:cs="Arial"/>
                <w:b/>
              </w:rPr>
              <w:t>prestane vykonávať</w:t>
            </w:r>
            <w:r w:rsidR="00AC4D4F" w:rsidRPr="00DF07DD">
              <w:rPr>
                <w:rFonts w:ascii="Arial" w:hAnsi="Arial" w:cs="Arial"/>
                <w:b/>
              </w:rPr>
              <w:t xml:space="preserve"> </w:t>
            </w:r>
            <w:r w:rsidRPr="00DF07DD">
              <w:rPr>
                <w:rFonts w:ascii="Arial" w:hAnsi="Arial" w:cs="Arial"/>
                <w:b/>
              </w:rPr>
              <w:t>[</w:t>
            </w:r>
            <w:r w:rsidRPr="00DF07DD">
              <w:rPr>
                <w:rFonts w:ascii="Arial" w:hAnsi="Arial" w:cs="Arial"/>
                <w:b/>
                <w:i/>
              </w:rPr>
              <w:t>%</w:t>
            </w:r>
            <w:r w:rsidRPr="00DF07DD">
              <w:rPr>
                <w:rFonts w:ascii="Arial" w:hAnsi="Arial" w:cs="Arial"/>
                <w:b/>
              </w:rPr>
              <w:t xml:space="preserve"> a </w:t>
            </w:r>
            <w:r w:rsidR="004136BC">
              <w:rPr>
                <w:rFonts w:ascii="Arial" w:hAnsi="Arial" w:cs="Arial"/>
                <w:b/>
                <w:i/>
              </w:rPr>
              <w:t>počet</w:t>
            </w:r>
            <w:r w:rsidRPr="00DF07DD">
              <w:rPr>
                <w:rFonts w:ascii="Arial" w:hAnsi="Arial" w:cs="Arial"/>
                <w:b/>
              </w:rPr>
              <w:t xml:space="preserve">] </w:t>
            </w:r>
            <w:r w:rsidR="00AC4D4F" w:rsidRPr="00DF07DD">
              <w:rPr>
                <w:rFonts w:ascii="Arial" w:hAnsi="Arial" w:cs="Arial"/>
                <w:b/>
              </w:rPr>
              <w:t>hlasovac</w:t>
            </w:r>
            <w:r w:rsidRPr="00DF07DD">
              <w:rPr>
                <w:rFonts w:ascii="Arial" w:hAnsi="Arial" w:cs="Arial"/>
                <w:b/>
              </w:rPr>
              <w:t>ie</w:t>
            </w:r>
            <w:r w:rsidR="00AC4D4F" w:rsidRPr="00DF07DD">
              <w:rPr>
                <w:rFonts w:ascii="Arial" w:hAnsi="Arial" w:cs="Arial"/>
                <w:b/>
              </w:rPr>
              <w:t xml:space="preserve"> práv</w:t>
            </w:r>
            <w:r w:rsidRPr="00DF07DD">
              <w:rPr>
                <w:rFonts w:ascii="Arial" w:hAnsi="Arial" w:cs="Arial"/>
                <w:b/>
              </w:rPr>
              <w:t>a</w:t>
            </w:r>
            <w:r w:rsidR="00AC4D4F" w:rsidRPr="00DF07DD">
              <w:rPr>
                <w:rFonts w:ascii="Arial" w:hAnsi="Arial" w:cs="Arial"/>
                <w:b/>
              </w:rPr>
              <w:t xml:space="preserve"> od </w:t>
            </w:r>
            <w:r w:rsidRPr="00DF07DD">
              <w:rPr>
                <w:rFonts w:ascii="Arial" w:hAnsi="Arial" w:cs="Arial"/>
                <w:b/>
              </w:rPr>
              <w:t>[</w:t>
            </w:r>
            <w:r w:rsidRPr="00DF07DD">
              <w:rPr>
                <w:rFonts w:ascii="Arial" w:hAnsi="Arial" w:cs="Arial"/>
                <w:b/>
                <w:i/>
              </w:rPr>
              <w:t>dátum</w:t>
            </w:r>
            <w:r w:rsidRPr="00DF07DD">
              <w:rPr>
                <w:rFonts w:ascii="Arial" w:hAnsi="Arial" w:cs="Arial"/>
                <w:b/>
              </w:rPr>
              <w:t xml:space="preserve">] </w:t>
            </w:r>
            <w:r w:rsidR="00AC4D4F" w:rsidRPr="00DF07DD">
              <w:rPr>
                <w:rFonts w:ascii="Arial" w:hAnsi="Arial" w:cs="Arial"/>
                <w:b/>
              </w:rPr>
              <w:t xml:space="preserve"> </w:t>
            </w:r>
          </w:p>
          <w:p w:rsidR="004814AE" w:rsidRPr="00DF07DD" w:rsidRDefault="004814AE" w:rsidP="00E3723D">
            <w:pPr>
              <w:rPr>
                <w:rFonts w:ascii="TimesNewRomanPSMT" w:hAnsi="TimesNewRomanPSMT" w:cs="TimesNewRomanPSMT"/>
                <w:b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  <w:b/>
              </w:rPr>
            </w:pPr>
          </w:p>
        </w:tc>
      </w:tr>
      <w:tr w:rsidR="004814AE" w:rsidRPr="00002001" w:rsidTr="00E3723D">
        <w:trPr>
          <w:trHeight w:val="530"/>
        </w:trPr>
        <w:tc>
          <w:tcPr>
            <w:tcW w:w="106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814AE" w:rsidRPr="000B4E53" w:rsidRDefault="004814AE" w:rsidP="00E3723D">
            <w:pPr>
              <w:rPr>
                <w:rFonts w:ascii="Arial" w:hAnsi="Arial" w:cs="Arial"/>
              </w:rPr>
            </w:pPr>
          </w:p>
        </w:tc>
      </w:tr>
      <w:tr w:rsidR="004814AE" w:rsidRPr="00002001" w:rsidTr="00E3723D">
        <w:trPr>
          <w:trHeight w:val="950"/>
        </w:trPr>
        <w:tc>
          <w:tcPr>
            <w:tcW w:w="10620" w:type="dxa"/>
            <w:gridSpan w:val="4"/>
          </w:tcPr>
          <w:p w:rsidR="004814AE" w:rsidRPr="00632309" w:rsidRDefault="004814AE" w:rsidP="00E372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10. Doplňujúce informácie</w:t>
            </w:r>
            <w:r w:rsidR="00DF07DD">
              <w:rPr>
                <w:rFonts w:ascii="Arial" w:hAnsi="Arial"/>
                <w:sz w:val="16"/>
                <w:vertAlign w:val="superscript"/>
              </w:rPr>
              <w:t>19</w:t>
            </w:r>
            <w:r>
              <w:rPr>
                <w:rFonts w:ascii="Arial" w:hAnsi="Arial"/>
                <w:b/>
              </w:rPr>
              <w:t>:</w:t>
            </w:r>
          </w:p>
          <w:p w:rsidR="004814AE" w:rsidRPr="00632309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  <w:b/>
              </w:rPr>
            </w:pPr>
          </w:p>
          <w:p w:rsidR="004814AE" w:rsidRPr="000B4E53" w:rsidRDefault="004814AE" w:rsidP="00E3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:rsidR="004814AE" w:rsidRDefault="004814AE" w:rsidP="004814AE"/>
    <w:p w:rsidR="00336E0B" w:rsidRDefault="00336E0B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336E0B" w:rsidTr="00336E0B">
        <w:trPr>
          <w:trHeight w:val="1190"/>
        </w:trPr>
        <w:tc>
          <w:tcPr>
            <w:tcW w:w="10632" w:type="dxa"/>
          </w:tcPr>
          <w:p w:rsidR="00336E0B" w:rsidRPr="004136BC" w:rsidRDefault="00336E0B" w:rsidP="00336E0B">
            <w:pPr>
              <w:rPr>
                <w:rFonts w:ascii="Arial" w:hAnsi="Arial" w:cs="Arial"/>
                <w:b/>
              </w:rPr>
            </w:pPr>
            <w:r w:rsidRPr="004136BC">
              <w:rPr>
                <w:rFonts w:ascii="Arial" w:hAnsi="Arial"/>
                <w:b/>
              </w:rPr>
              <w:t>11. Dátum a miesto vyplnenia oznámenia</w:t>
            </w:r>
            <w:r w:rsidR="004136BC">
              <w:rPr>
                <w:rFonts w:ascii="Arial" w:hAnsi="Arial"/>
                <w:b/>
              </w:rPr>
              <w:t>:</w:t>
            </w:r>
          </w:p>
          <w:p w:rsidR="00336E0B" w:rsidRDefault="00336E0B" w:rsidP="004814AE">
            <w:pPr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</w:tc>
      </w:tr>
    </w:tbl>
    <w:p w:rsidR="00336E0B" w:rsidRDefault="00336E0B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4136BC" w:rsidRDefault="004136BC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4136BC" w:rsidRDefault="004136BC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4136BC" w:rsidRDefault="004136BC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4136BC" w:rsidRDefault="004136BC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336E0B" w:rsidRDefault="00336E0B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336E0B" w:rsidRDefault="00336E0B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4814AE" w:rsidRDefault="00AC4D4F" w:rsidP="004814AE">
      <w:pPr>
        <w:autoSpaceDE w:val="0"/>
        <w:autoSpaceDN w:val="0"/>
        <w:adjustRightInd w:val="0"/>
        <w:rPr>
          <w:rFonts w:ascii="Arial" w:hAnsi="Arial"/>
          <w:b/>
        </w:rPr>
      </w:pPr>
      <w:r w:rsidRPr="003026CC">
        <w:rPr>
          <w:rFonts w:ascii="Arial" w:hAnsi="Arial"/>
          <w:b/>
        </w:rPr>
        <w:lastRenderedPageBreak/>
        <w:t>Vysvetlivky</w:t>
      </w:r>
      <w:r w:rsidR="00093477" w:rsidRPr="003026CC">
        <w:rPr>
          <w:rFonts w:ascii="Arial" w:hAnsi="Arial"/>
          <w:b/>
        </w:rPr>
        <w:t xml:space="preserve"> a inštrukcie</w:t>
      </w:r>
      <w:r w:rsidR="004814AE" w:rsidRPr="003026CC">
        <w:rPr>
          <w:rFonts w:ascii="Arial" w:hAnsi="Arial"/>
          <w:b/>
        </w:rPr>
        <w:t>:</w:t>
      </w:r>
    </w:p>
    <w:p w:rsidR="001E409C" w:rsidRDefault="001E409C" w:rsidP="004814AE">
      <w:pPr>
        <w:autoSpaceDE w:val="0"/>
        <w:autoSpaceDN w:val="0"/>
        <w:adjustRightInd w:val="0"/>
        <w:rPr>
          <w:rFonts w:ascii="Arial" w:hAnsi="Arial"/>
          <w:b/>
        </w:rPr>
      </w:pPr>
    </w:p>
    <w:p w:rsidR="00BB4FBC" w:rsidRPr="007D7B9E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7D7B9E">
        <w:rPr>
          <w:rFonts w:ascii="Arial" w:hAnsi="Arial"/>
          <w:sz w:val="18"/>
          <w:szCs w:val="18"/>
        </w:rPr>
        <w:t>Tento formulár vychádza zo vzorového formulára uverejneného Európskym orgánom pre cenné papiere a trhy (</w:t>
      </w:r>
      <w:r w:rsidRPr="007D7B9E">
        <w:rPr>
          <w:rFonts w:ascii="Arial" w:hAnsi="Arial"/>
          <w:sz w:val="18"/>
          <w:szCs w:val="18"/>
          <w:lang w:val="en-GB"/>
        </w:rPr>
        <w:t>European Securities and Markets</w:t>
      </w:r>
      <w:r w:rsidRPr="007D7B9E">
        <w:rPr>
          <w:rFonts w:ascii="Arial" w:hAnsi="Arial"/>
          <w:sz w:val="18"/>
          <w:szCs w:val="18"/>
        </w:rPr>
        <w:t xml:space="preserve"> </w:t>
      </w:r>
      <w:r w:rsidRPr="007D7B9E">
        <w:rPr>
          <w:rFonts w:ascii="Arial" w:hAnsi="Arial"/>
          <w:sz w:val="18"/>
          <w:szCs w:val="18"/>
          <w:lang w:val="en-GB"/>
        </w:rPr>
        <w:t>Authority</w:t>
      </w:r>
      <w:r w:rsidRPr="007D7B9E">
        <w:rPr>
          <w:rFonts w:ascii="Arial" w:hAnsi="Arial"/>
          <w:sz w:val="18"/>
          <w:szCs w:val="18"/>
        </w:rPr>
        <w:t xml:space="preserve"> – ESMA).</w:t>
      </w:r>
      <w:r>
        <w:rPr>
          <w:rStyle w:val="FootnoteReference"/>
          <w:rFonts w:ascii="Arial" w:hAnsi="Arial"/>
          <w:sz w:val="18"/>
          <w:szCs w:val="18"/>
        </w:rPr>
        <w:footnoteReference w:customMarkFollows="1" w:id="1"/>
        <w:t>i</w:t>
      </w:r>
    </w:p>
    <w:p w:rsidR="006379E1" w:rsidRDefault="006379E1" w:rsidP="004814AE">
      <w:pPr>
        <w:autoSpaceDE w:val="0"/>
        <w:autoSpaceDN w:val="0"/>
        <w:adjustRightInd w:val="0"/>
        <w:jc w:val="both"/>
        <w:rPr>
          <w:rFonts w:ascii="Arial" w:hAnsi="Arial"/>
          <w:i/>
          <w:sz w:val="18"/>
          <w:vertAlign w:val="superscript"/>
        </w:rPr>
      </w:pP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  <w:vertAlign w:val="superscript"/>
        </w:rPr>
      </w:pPr>
      <w:r>
        <w:rPr>
          <w:rFonts w:ascii="Arial" w:hAnsi="Arial"/>
          <w:i/>
          <w:sz w:val="18"/>
          <w:vertAlign w:val="superscript"/>
        </w:rPr>
        <w:t>1</w:t>
      </w:r>
      <w:r>
        <w:rPr>
          <w:rFonts w:ascii="Arial" w:hAnsi="Arial"/>
          <w:i/>
          <w:sz w:val="18"/>
        </w:rPr>
        <w:t xml:space="preserve"> Podľa § 45 ods.3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 sú </w:t>
      </w:r>
      <w:r w:rsidRPr="006379E1">
        <w:rPr>
          <w:rFonts w:ascii="Arial" w:hAnsi="Arial" w:cs="Arial"/>
          <w:i/>
          <w:sz w:val="18"/>
          <w:szCs w:val="18"/>
        </w:rPr>
        <w:t>akcionár a osoba podľa § 41 ods. 9 sú povinní oznámiť informácie podľa § 41 až 43 emitentovi a zároveň Národnej banke Slovenska.</w:t>
      </w:r>
      <w:r>
        <w:t xml:space="preserve"> </w:t>
      </w: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  <w:vertAlign w:val="superscript"/>
        </w:rPr>
      </w:pPr>
    </w:p>
    <w:p w:rsidR="00BB4FBC" w:rsidRDefault="00BB4FBC" w:rsidP="00BB4FBC">
      <w:pPr>
        <w:autoSpaceDE w:val="0"/>
        <w:autoSpaceDN w:val="0"/>
        <w:adjustRightInd w:val="0"/>
        <w:jc w:val="both"/>
      </w:pPr>
      <w:r>
        <w:rPr>
          <w:rFonts w:ascii="Arial" w:hAnsi="Arial"/>
          <w:i/>
          <w:sz w:val="18"/>
          <w:vertAlign w:val="superscript"/>
        </w:rPr>
        <w:t>2</w:t>
      </w:r>
      <w:r>
        <w:rPr>
          <w:rFonts w:ascii="Arial" w:hAnsi="Arial"/>
          <w:i/>
          <w:sz w:val="18"/>
        </w:rPr>
        <w:t xml:space="preserve"> Podľa § 3 ods. 3 </w:t>
      </w:r>
      <w:proofErr w:type="spellStart"/>
      <w:r>
        <w:rPr>
          <w:rFonts w:ascii="Arial" w:hAnsi="Arial"/>
          <w:i/>
          <w:sz w:val="18"/>
        </w:rPr>
        <w:t>písm</w:t>
      </w:r>
      <w:proofErr w:type="spellEnd"/>
      <w:r>
        <w:rPr>
          <w:rFonts w:ascii="Arial" w:hAnsi="Arial"/>
          <w:i/>
          <w:sz w:val="18"/>
        </w:rPr>
        <w:t xml:space="preserve"> n.)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 sa emitentom </w:t>
      </w:r>
      <w:r w:rsidRPr="006379E1">
        <w:rPr>
          <w:rFonts w:ascii="Arial" w:hAnsi="Arial" w:cs="Arial"/>
          <w:i/>
          <w:sz w:val="18"/>
          <w:szCs w:val="18"/>
        </w:rPr>
        <w:t>rozumie osoba, ktorej cenné papiere sú prijaté na obchodovanie na regulovanom trhu; emitent je, ak ide o poukážky,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379E1">
        <w:rPr>
          <w:rFonts w:ascii="Arial" w:hAnsi="Arial" w:cs="Arial"/>
          <w:i/>
          <w:sz w:val="18"/>
          <w:szCs w:val="18"/>
        </w:rPr>
        <w:t>emitentom zastúpených cenných papierov</w:t>
      </w:r>
      <w:r>
        <w:t xml:space="preserve"> </w:t>
      </w:r>
    </w:p>
    <w:p w:rsidR="00BB4FBC" w:rsidRDefault="00BB4FBC" w:rsidP="00BB4FBC">
      <w:pPr>
        <w:autoSpaceDE w:val="0"/>
        <w:autoSpaceDN w:val="0"/>
        <w:adjustRightInd w:val="0"/>
        <w:jc w:val="both"/>
      </w:pPr>
    </w:p>
    <w:p w:rsidR="00BB4FBC" w:rsidRPr="006379E1" w:rsidRDefault="00BB4FBC" w:rsidP="00BB4FBC">
      <w:pPr>
        <w:autoSpaceDE w:val="0"/>
        <w:autoSpaceDN w:val="0"/>
        <w:adjustRightInd w:val="0"/>
        <w:jc w:val="both"/>
      </w:pPr>
      <w:r>
        <w:rPr>
          <w:rFonts w:ascii="Arial" w:hAnsi="Arial"/>
          <w:i/>
          <w:sz w:val="18"/>
          <w:vertAlign w:val="superscript"/>
        </w:rPr>
        <w:t>3</w:t>
      </w:r>
      <w:r>
        <w:rPr>
          <w:rFonts w:ascii="Arial" w:hAnsi="Arial"/>
          <w:i/>
          <w:sz w:val="18"/>
        </w:rPr>
        <w:t xml:space="preserve"> Takto sa označia najmä pasívne zmeny podielu na hlasovacích právach, t.j. ak zostane počet hlasovacích práv oznamujúcej osoby rovnaký, ale dôjde k dosiahnutiu alebo prekročeniu limitu pre vznik oznamovacej povinnosti v dôsledku zmeny základného imania alebo celkového počtu hlasovacích práv emitenta.</w:t>
      </w: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</w:p>
    <w:p w:rsidR="00BB4FBC" w:rsidRPr="00BE3ED6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 xml:space="preserve">4 </w:t>
      </w:r>
      <w:r>
        <w:rPr>
          <w:rFonts w:ascii="Arial" w:hAnsi="Arial"/>
          <w:i/>
          <w:sz w:val="18"/>
        </w:rPr>
        <w:t xml:space="preserve">Iným dôvodom oznámenia môže byť napr. zánik práva na dodanie akcie v dôsledku </w:t>
      </w:r>
      <w:proofErr w:type="spellStart"/>
      <w:r>
        <w:rPr>
          <w:rFonts w:ascii="Arial" w:hAnsi="Arial"/>
          <w:i/>
          <w:sz w:val="18"/>
        </w:rPr>
        <w:t>expirácie</w:t>
      </w:r>
      <w:proofErr w:type="spellEnd"/>
      <w:r>
        <w:rPr>
          <w:rFonts w:ascii="Arial" w:hAnsi="Arial"/>
          <w:i/>
          <w:sz w:val="18"/>
        </w:rPr>
        <w:t xml:space="preserve"> finančného nástroja, zmena hodnoty delta u finančných nástrojoch s výlučne vyrovnaním v hotovosti, zmena v rozložení podielu na hlasovacích právach medzi osobami konajúcimi v zhode.</w:t>
      </w:r>
    </w:p>
    <w:p w:rsidR="00BB4FBC" w:rsidRPr="006D5B08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trike/>
          <w:sz w:val="18"/>
        </w:rPr>
      </w:pPr>
      <w:r>
        <w:rPr>
          <w:rFonts w:ascii="Arial" w:hAnsi="Arial"/>
          <w:i/>
          <w:sz w:val="18"/>
        </w:rPr>
        <w:t xml:space="preserve"> </w:t>
      </w:r>
    </w:p>
    <w:p w:rsidR="00BB4FBC" w:rsidRPr="003F00B3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>5</w:t>
      </w:r>
      <w:r>
        <w:rPr>
          <w:rFonts w:ascii="Arial" w:hAnsi="Arial"/>
          <w:i/>
          <w:sz w:val="18"/>
        </w:rPr>
        <w:t xml:space="preserve"> V prípade právnickej osoby sa uvedie meno, sídlo, IČO a v prípade fyzickej osoby sa uvedie meno a priezvisko, trvalý pobyt, dátum narodenia. Osobou, ktorej vznikla oznamovacia povinnosť môže byť: a) akcionár podľa § 41 </w:t>
      </w:r>
      <w:r>
        <w:rPr>
          <w:rFonts w:ascii="Arial" w:hAnsi="Arial"/>
          <w:i/>
          <w:sz w:val="18"/>
        </w:rPr>
        <w:br/>
        <w:t xml:space="preserve">ods. 3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; b) fyzická alebo právnická osoba, ktorá nadobúda, prevádza alebo vykonáva hlasovacie práva v prípadoch podľa § 41 ods. 9 b) až h)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; alebo c) držiteľ finančných nástrojov podľa § 43 ods. 1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.  </w:t>
      </w: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 xml:space="preserve">6 </w:t>
      </w:r>
      <w:r>
        <w:rPr>
          <w:rFonts w:ascii="Arial" w:hAnsi="Arial"/>
          <w:i/>
          <w:sz w:val="18"/>
        </w:rPr>
        <w:t xml:space="preserve">Vzťahuje sa na prípady ustanovené v § 41 ods. 9 písm. b) až písm. h)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. V prípade právnickej osoby sa uvedie meno, sídlo, IČO a v prípade fyzickej osoby sa uvedie meno a priezvisko, trvalý pobyt, dátum narodenia. Uvedie sa označenie (názov/meno) akcionára, ktorý je protistranou fyzickej alebo právnickej osoby, ktorej vznikla oznamovacia povinnosť, </w:t>
      </w:r>
      <w:r w:rsidRPr="007D7B9E">
        <w:rPr>
          <w:rFonts w:ascii="Arial" w:hAnsi="Arial"/>
          <w:i/>
          <w:sz w:val="18"/>
        </w:rPr>
        <w:t>pokiaľ percentuálna hodnota hlasovacích práv akcionára nie je nižšia ako najnižšia oznamovaná prahová hodnota pre zverejnenie hlasovacích práv</w:t>
      </w:r>
      <w:r>
        <w:rPr>
          <w:rFonts w:ascii="Arial" w:hAnsi="Arial"/>
          <w:i/>
          <w:sz w:val="18"/>
        </w:rPr>
        <w:t>.</w:t>
      </w:r>
      <w:r w:rsidRPr="007D7B9E">
        <w:rPr>
          <w:rFonts w:ascii="Arial" w:hAnsi="Arial"/>
          <w:i/>
          <w:sz w:val="18"/>
        </w:rPr>
        <w:t xml:space="preserve"> </w:t>
      </w: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>7</w:t>
      </w:r>
      <w:r>
        <w:rPr>
          <w:rFonts w:ascii="Arial" w:hAnsi="Arial"/>
          <w:i/>
          <w:sz w:val="18"/>
        </w:rPr>
        <w:t xml:space="preserve"> Uvedie sa dátum dosiahnutia, presiahnutia alebo poklesu limitu alebo dátum inej udalosti, ktorá je dôvodom vzniku oznamovacej povinnosti.</w:t>
      </w: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>8</w:t>
      </w:r>
      <w:r>
        <w:rPr>
          <w:rFonts w:ascii="Arial" w:hAnsi="Arial"/>
          <w:i/>
          <w:sz w:val="18"/>
        </w:rPr>
        <w:t xml:space="preserve"> Presnou výslednou výšku celkového podielu na hlasovacích právach je potrebné uviesť aj v prípade, ak </w:t>
      </w:r>
      <w:r w:rsidR="00490D77">
        <w:rPr>
          <w:rFonts w:ascii="Arial" w:hAnsi="Arial"/>
          <w:i/>
          <w:sz w:val="18"/>
        </w:rPr>
        <w:t>sa</w:t>
      </w:r>
      <w:r>
        <w:rPr>
          <w:rFonts w:ascii="Arial" w:hAnsi="Arial"/>
          <w:i/>
          <w:sz w:val="18"/>
        </w:rPr>
        <w:t xml:space="preserve"> v tomto poli oznam</w:t>
      </w:r>
      <w:r w:rsidR="00490D77">
        <w:rPr>
          <w:rFonts w:ascii="Arial" w:hAnsi="Arial"/>
          <w:i/>
          <w:sz w:val="18"/>
        </w:rPr>
        <w:t>uje</w:t>
      </w:r>
      <w:r>
        <w:rPr>
          <w:rFonts w:ascii="Arial" w:hAnsi="Arial"/>
          <w:i/>
          <w:sz w:val="18"/>
        </w:rPr>
        <w:t xml:space="preserve"> pokles pod najnižší limit pre oznamovaciu povinnosť. V takomto prípade nie je potrebné vyplňovať predchádzajúce dve polia </w:t>
      </w:r>
      <w:r>
        <w:rPr>
          <w:rFonts w:ascii="Verdana" w:hAnsi="Verdana" w:cs="Arial"/>
          <w:sz w:val="18"/>
          <w:szCs w:val="18"/>
          <w:lang w:eastAsia="fr-FR"/>
        </w:rPr>
        <w:t>[(7.</w:t>
      </w:r>
      <w:r w:rsidRPr="006128AE">
        <w:rPr>
          <w:rFonts w:ascii="Verdana" w:hAnsi="Verdana" w:cs="Arial"/>
          <w:sz w:val="18"/>
          <w:szCs w:val="18"/>
          <w:lang w:eastAsia="fr-FR"/>
        </w:rPr>
        <w:t>A) a (7.B.1+7.B.2)]</w:t>
      </w:r>
      <w:r>
        <w:rPr>
          <w:rFonts w:ascii="Verdana" w:hAnsi="Verdana" w:cs="Arial"/>
          <w:sz w:val="18"/>
          <w:szCs w:val="18"/>
          <w:lang w:eastAsia="fr-FR"/>
        </w:rPr>
        <w:t>.</w:t>
      </w:r>
      <w:r>
        <w:rPr>
          <w:rFonts w:ascii="Arial" w:hAnsi="Arial"/>
          <w:i/>
          <w:sz w:val="18"/>
        </w:rPr>
        <w:t xml:space="preserve">  </w:t>
      </w: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>9</w:t>
      </w:r>
      <w:r>
        <w:rPr>
          <w:rFonts w:ascii="Arial" w:hAnsi="Arial"/>
          <w:i/>
          <w:sz w:val="18"/>
        </w:rPr>
        <w:t xml:space="preserve"> Celkový počet hlasovacích práv sa odvodzuje od všetkých akcií emitenta, s ktorými sú trvalo spojené hlasovacie práva alebo ktoré dočasne nadobudnú hlasovacie právo, a to bez ohľadu na skutočnosť, či je možné ich uskutočniť.</w:t>
      </w: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</w:p>
    <w:p w:rsidR="00BB4FBC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>10</w:t>
      </w:r>
      <w:r>
        <w:rPr>
          <w:rFonts w:ascii="Arial" w:hAnsi="Arial"/>
          <w:i/>
          <w:sz w:val="18"/>
        </w:rPr>
        <w:t xml:space="preserve"> Podrobnosti v bode 7. Formulára nie je potrebné vypĺňať pokiaľ výsledná výška podielu v bode 6. Formulára klesla pod najnižšiu prahovú hodnotu, t.j. 5%. </w:t>
      </w:r>
    </w:p>
    <w:p w:rsidR="00BB4FBC" w:rsidRPr="005D651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trike/>
          <w:sz w:val="18"/>
          <w:szCs w:val="18"/>
        </w:rPr>
      </w:pP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11</w:t>
      </w:r>
      <w:r>
        <w:rPr>
          <w:rFonts w:ascii="Arial" w:hAnsi="Arial"/>
          <w:i/>
          <w:sz w:val="18"/>
        </w:rPr>
        <w:t xml:space="preserve"> V prípade kombinovanej držby akcií s hlasovacími právami v „priamej držbe“ a v „nepriamej držbe“ rozčleňte počet a percentuálnu hodnotu hlasovacích práv do stĺpcov pre priamu a nepriamu držbu. V prípade neexistencie kombinovanej držby nechajte príslušný rámček nevyplnený.</w:t>
      </w: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12</w:t>
      </w:r>
      <w:r>
        <w:rPr>
          <w:rFonts w:ascii="Arial" w:hAnsi="Arial"/>
          <w:i/>
          <w:sz w:val="18"/>
        </w:rPr>
        <w:t xml:space="preserve"> Dátum platnosti/</w:t>
      </w:r>
      <w:proofErr w:type="spellStart"/>
      <w:r>
        <w:rPr>
          <w:rFonts w:ascii="Arial" w:hAnsi="Arial"/>
          <w:i/>
          <w:sz w:val="18"/>
        </w:rPr>
        <w:t>expirácie</w:t>
      </w:r>
      <w:proofErr w:type="spellEnd"/>
      <w:r>
        <w:rPr>
          <w:rFonts w:ascii="Arial" w:hAnsi="Arial"/>
          <w:i/>
          <w:sz w:val="18"/>
        </w:rPr>
        <w:t xml:space="preserve"> finančného nástroja, t. j. deň, v ktorý sa skončí právo nadobúdať akcie.</w:t>
      </w: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13</w:t>
      </w:r>
      <w:r>
        <w:rPr>
          <w:rFonts w:ascii="Arial" w:hAnsi="Arial"/>
          <w:i/>
          <w:sz w:val="18"/>
        </w:rPr>
        <w:t xml:space="preserve"> Ak má finančný nástroj takúto lehotu, uveďte túto lehotu, napr. raz za každé 3 mesiace počnúc od [dátum]. </w:t>
      </w: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14</w:t>
      </w:r>
      <w:r>
        <w:rPr>
          <w:rFonts w:ascii="Arial" w:hAnsi="Arial"/>
          <w:i/>
          <w:sz w:val="18"/>
        </w:rPr>
        <w:t xml:space="preserve"> V prípade finančných nástrojov s vyrovnaním v hotovosti sa počet a percentuálna hodnota hlasovacích práv vyjadruje pomocou „delta úpravy“ (§ 43 ods. 8 </w:t>
      </w:r>
      <w:proofErr w:type="spellStart"/>
      <w:r>
        <w:rPr>
          <w:rFonts w:ascii="Arial" w:hAnsi="Arial"/>
          <w:i/>
          <w:sz w:val="18"/>
        </w:rPr>
        <w:t>ZoBurze</w:t>
      </w:r>
      <w:proofErr w:type="spellEnd"/>
      <w:r>
        <w:rPr>
          <w:rFonts w:ascii="Arial" w:hAnsi="Arial"/>
          <w:i/>
          <w:sz w:val="18"/>
        </w:rPr>
        <w:t xml:space="preserve"> a Delegované Nariadenie Komisie (EÚ) 2015/761).</w:t>
      </w: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BB4FBC" w:rsidRPr="009D0E74" w:rsidRDefault="00BB4FBC" w:rsidP="00BB4FB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15</w:t>
      </w:r>
      <w:r>
        <w:rPr>
          <w:rFonts w:ascii="Arial" w:hAnsi="Arial"/>
          <w:i/>
          <w:sz w:val="18"/>
        </w:rPr>
        <w:t xml:space="preserve"> Ak osoba, na ktorú sa vzťahuje oznamovacia povinnosť, je buď ovládaná inou osobou alebo sama ovláda inú osobu  uplatní sa druhá možnosť.</w:t>
      </w:r>
    </w:p>
    <w:p w:rsidR="00BB4FBC" w:rsidRPr="009D0E74" w:rsidRDefault="00BB4FBC" w:rsidP="00BB4FBC">
      <w:pPr>
        <w:jc w:val="both"/>
        <w:rPr>
          <w:rFonts w:ascii="Arial" w:hAnsi="Arial" w:cs="Arial"/>
          <w:i/>
          <w:sz w:val="18"/>
          <w:szCs w:val="18"/>
        </w:rPr>
      </w:pPr>
    </w:p>
    <w:p w:rsidR="00BB4FBC" w:rsidRPr="009D0E74" w:rsidRDefault="00BB4FBC" w:rsidP="00BB4FB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16</w:t>
      </w:r>
      <w:r>
        <w:rPr>
          <w:rFonts w:ascii="Arial" w:hAnsi="Arial"/>
          <w:i/>
          <w:sz w:val="18"/>
        </w:rPr>
        <w:t xml:space="preserve"> Úplný reťazec ovládaných  a ovládajúcich osôb počnúc najvyššie postavenou ovládajúcou sobou sa uvádza v prípadoch, ak ku vzniku oznamovacej povinnosti dochádza na len úrovni ovládanej osoby a táto osoba zverejňuje oznámenie, pretože len tak môžu účastníci trhu získať úplný obraz o držbe podielov danej skupiny. V prípade viacnásobných reťazcov, prostredníctvom ktorých skutočne dochádza k držbe hlasovacích práv a/alebo finančných nástrojov, treba reťazce uvádzať po jednom, pričom po každom reťazci sa vynecháva riadok (napr. A, B, C, voľný riadok, A, B, D, voľný riadok, A, E, F atď.).</w:t>
      </w:r>
    </w:p>
    <w:p w:rsidR="00BB4FBC" w:rsidRPr="009D0E74" w:rsidRDefault="00BB4FBC" w:rsidP="00BB4FBC">
      <w:pPr>
        <w:jc w:val="both"/>
        <w:rPr>
          <w:rFonts w:ascii="Arial" w:hAnsi="Arial" w:cs="Arial"/>
          <w:i/>
          <w:sz w:val="18"/>
          <w:szCs w:val="18"/>
        </w:rPr>
      </w:pPr>
    </w:p>
    <w:p w:rsidR="00BB4FBC" w:rsidRDefault="00BB4FBC" w:rsidP="00BB4FBC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lastRenderedPageBreak/>
        <w:t>17</w:t>
      </w:r>
      <w:r>
        <w:rPr>
          <w:rFonts w:ascii="Arial" w:hAnsi="Arial"/>
          <w:i/>
          <w:sz w:val="18"/>
        </w:rPr>
        <w:t xml:space="preserve"> Názvy ovládaných osôb, prostredníctvom ktorých skutočne dochádza k držbe hlasovacích práv a/alebo finančných nástrojov, treba uviesť bez ohľadu na to, či samotné ovládané osoby prekročili alebo dosiahli najnižšiu relevantnú prahovú hodnotu, t.j. 5 %.</w:t>
      </w:r>
    </w:p>
    <w:p w:rsidR="00BB4FBC" w:rsidRDefault="00BB4FBC" w:rsidP="00BB4FBC">
      <w:pPr>
        <w:jc w:val="both"/>
        <w:rPr>
          <w:rFonts w:ascii="Arial" w:hAnsi="Arial"/>
          <w:i/>
          <w:sz w:val="18"/>
        </w:rPr>
      </w:pPr>
    </w:p>
    <w:p w:rsidR="00BB4FBC" w:rsidRDefault="00BB4FBC" w:rsidP="00BB4FBC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vertAlign w:val="superscript"/>
        </w:rPr>
        <w:t>18</w:t>
      </w:r>
      <w:r>
        <w:rPr>
          <w:rFonts w:ascii="Arial" w:hAnsi="Arial"/>
          <w:i/>
          <w:sz w:val="18"/>
        </w:rPr>
        <w:t xml:space="preserve"> Tento a predchádzajúce dva stĺpce nie je potrebné vyplniť, v prípade ak v stĺpci „Celkovo v %“ v bode 8. Formulára je hodnota nižšia ako 5%. </w:t>
      </w:r>
    </w:p>
    <w:p w:rsidR="00BB4FBC" w:rsidRPr="009D0E74" w:rsidRDefault="00BB4FBC" w:rsidP="00BB4FBC">
      <w:pPr>
        <w:jc w:val="both"/>
        <w:rPr>
          <w:rFonts w:ascii="Arial" w:hAnsi="Arial" w:cs="Arial"/>
          <w:i/>
          <w:sz w:val="18"/>
          <w:szCs w:val="18"/>
        </w:rPr>
      </w:pPr>
    </w:p>
    <w:p w:rsidR="00BB4FBC" w:rsidRPr="009D0E74" w:rsidRDefault="00BB4FBC" w:rsidP="00BB4FB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t>19</w:t>
      </w:r>
      <w:r>
        <w:rPr>
          <w:rFonts w:ascii="Arial" w:hAnsi="Arial"/>
          <w:i/>
          <w:sz w:val="18"/>
        </w:rPr>
        <w:t xml:space="preserve"> Napríklad: Oprava predošlého oznámenia.</w:t>
      </w:r>
    </w:p>
    <w:p w:rsidR="00BB4FBC" w:rsidRPr="00632309" w:rsidRDefault="00BB4FBC" w:rsidP="00BB4FBC">
      <w:pPr>
        <w:spacing w:after="120" w:line="264" w:lineRule="auto"/>
        <w:jc w:val="both"/>
        <w:rPr>
          <w:rFonts w:ascii="Arial" w:hAnsi="Arial" w:cs="Arial"/>
          <w:b/>
          <w:szCs w:val="22"/>
        </w:rPr>
      </w:pPr>
    </w:p>
    <w:p w:rsidR="00BB4FBC" w:rsidRPr="0028551E" w:rsidRDefault="00BB4FBC" w:rsidP="00BB4FBC">
      <w:pPr>
        <w:autoSpaceDE w:val="0"/>
        <w:autoSpaceDN w:val="0"/>
        <w:adjustRightInd w:val="0"/>
        <w:jc w:val="both"/>
        <w:rPr>
          <w:rFonts w:ascii="Arial" w:hAnsi="Arial"/>
          <w:i/>
          <w:sz w:val="18"/>
        </w:rPr>
      </w:pPr>
      <w:r w:rsidRPr="0028551E">
        <w:rPr>
          <w:rFonts w:ascii="Arial" w:hAnsi="Arial"/>
          <w:i/>
          <w:sz w:val="18"/>
        </w:rPr>
        <w:t>V celom formulári uvádzajte percentuálny podiel s presnosťou na dve desatinné miesta (bez zaokrúhľovania).</w:t>
      </w:r>
    </w:p>
    <w:p w:rsidR="00BB4FBC" w:rsidRPr="0028551E" w:rsidRDefault="00BB4FBC" w:rsidP="00BB4FBC">
      <w:pPr>
        <w:spacing w:after="120" w:line="264" w:lineRule="auto"/>
        <w:jc w:val="both"/>
        <w:rPr>
          <w:rFonts w:ascii="Arial" w:hAnsi="Arial" w:cs="Arial"/>
          <w:b/>
          <w:szCs w:val="22"/>
        </w:rPr>
      </w:pPr>
    </w:p>
    <w:p w:rsidR="00BB4FBC" w:rsidRDefault="00BB4FBC" w:rsidP="00BB4FBC"/>
    <w:p w:rsidR="00E3723D" w:rsidRDefault="00E3723D" w:rsidP="00BB4FBC">
      <w:pPr>
        <w:autoSpaceDE w:val="0"/>
        <w:autoSpaceDN w:val="0"/>
        <w:adjustRightInd w:val="0"/>
        <w:jc w:val="both"/>
      </w:pPr>
    </w:p>
    <w:sectPr w:rsidR="00E3723D" w:rsidSect="00336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361" w:left="124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DD" w:rsidRDefault="00B657DD">
      <w:r>
        <w:separator/>
      </w:r>
    </w:p>
  </w:endnote>
  <w:endnote w:type="continuationSeparator" w:id="0">
    <w:p w:rsidR="00B657DD" w:rsidRDefault="00B6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26" w:rsidRDefault="00857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1248" w:tblpY="15820"/>
      <w:tblOverlap w:val="never"/>
      <w:tblW w:w="94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60"/>
      <w:gridCol w:w="952"/>
    </w:tblGrid>
    <w:tr w:rsidR="00E3723D" w:rsidRPr="0084725C" w:rsidTr="00E3723D">
      <w:trPr>
        <w:trHeight w:val="284"/>
      </w:trPr>
      <w:tc>
        <w:tcPr>
          <w:tcW w:w="8460" w:type="dxa"/>
        </w:tcPr>
        <w:p w:rsidR="00E3723D" w:rsidRPr="001F1BC0" w:rsidRDefault="00E3723D" w:rsidP="00E3723D">
          <w:pPr>
            <w:pStyle w:val="00Footer"/>
          </w:pPr>
        </w:p>
      </w:tc>
      <w:tc>
        <w:tcPr>
          <w:tcW w:w="952" w:type="dxa"/>
        </w:tcPr>
        <w:p w:rsidR="00E3723D" w:rsidRPr="0084725C" w:rsidRDefault="00E3723D" w:rsidP="00E3723D">
          <w:pPr>
            <w:pStyle w:val="00aPagenumber"/>
            <w:rPr>
              <w:rFonts w:ascii="Arial" w:hAnsi="Arial" w:cs="Arial"/>
            </w:rPr>
          </w:pPr>
          <w:r w:rsidRPr="0084725C">
            <w:rPr>
              <w:rFonts w:ascii="Arial" w:hAnsi="Arial" w:cs="Arial"/>
            </w:rPr>
            <w:fldChar w:fldCharType="begin"/>
          </w:r>
          <w:r w:rsidRPr="0084725C">
            <w:rPr>
              <w:rFonts w:ascii="Arial" w:hAnsi="Arial" w:cs="Arial"/>
            </w:rPr>
            <w:instrText xml:space="preserve"> PAGE </w:instrText>
          </w:r>
          <w:r w:rsidRPr="0084725C">
            <w:rPr>
              <w:rFonts w:ascii="Arial" w:hAnsi="Arial" w:cs="Arial"/>
            </w:rPr>
            <w:fldChar w:fldCharType="separate"/>
          </w:r>
          <w:r w:rsidR="00857F26">
            <w:rPr>
              <w:rFonts w:ascii="Arial" w:hAnsi="Arial" w:cs="Arial"/>
              <w:noProof/>
            </w:rPr>
            <w:t>2</w:t>
          </w:r>
          <w:r w:rsidRPr="0084725C">
            <w:rPr>
              <w:rFonts w:ascii="Arial" w:hAnsi="Arial" w:cs="Arial"/>
              <w:noProof/>
            </w:rPr>
            <w:fldChar w:fldCharType="end"/>
          </w:r>
        </w:p>
      </w:tc>
    </w:tr>
  </w:tbl>
  <w:p w:rsidR="00E3723D" w:rsidRDefault="00E372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879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23D" w:rsidRDefault="00E3723D">
        <w:pPr>
          <w:pStyle w:val="Footer"/>
          <w:jc w:val="right"/>
        </w:pPr>
        <w:r w:rsidRPr="006202FB">
          <w:rPr>
            <w:sz w:val="20"/>
            <w:szCs w:val="20"/>
          </w:rPr>
          <w:fldChar w:fldCharType="begin"/>
        </w:r>
        <w:r w:rsidRPr="006202FB">
          <w:rPr>
            <w:sz w:val="20"/>
            <w:szCs w:val="20"/>
          </w:rPr>
          <w:instrText xml:space="preserve"> PAGE   \* MERGEFORMAT </w:instrText>
        </w:r>
        <w:r w:rsidRPr="006202FB">
          <w:rPr>
            <w:sz w:val="20"/>
            <w:szCs w:val="20"/>
          </w:rPr>
          <w:fldChar w:fldCharType="separate"/>
        </w:r>
        <w:r w:rsidR="00857F26">
          <w:rPr>
            <w:noProof/>
            <w:sz w:val="20"/>
            <w:szCs w:val="20"/>
          </w:rPr>
          <w:t>1</w:t>
        </w:r>
        <w:r w:rsidRPr="006202FB">
          <w:rPr>
            <w:noProof/>
            <w:sz w:val="20"/>
            <w:szCs w:val="20"/>
          </w:rPr>
          <w:fldChar w:fldCharType="end"/>
        </w:r>
      </w:p>
    </w:sdtContent>
  </w:sdt>
  <w:p w:rsidR="00E3723D" w:rsidRDefault="00E37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DD" w:rsidRDefault="00B657DD">
      <w:r>
        <w:separator/>
      </w:r>
    </w:p>
  </w:footnote>
  <w:footnote w:type="continuationSeparator" w:id="0">
    <w:p w:rsidR="00B657DD" w:rsidRDefault="00B657DD">
      <w:r>
        <w:continuationSeparator/>
      </w:r>
    </w:p>
  </w:footnote>
  <w:footnote w:id="1">
    <w:p w:rsidR="00BB4FBC" w:rsidRDefault="00BB4FBC" w:rsidP="00BB4FBC">
      <w:pPr>
        <w:pStyle w:val="FootnoteText"/>
      </w:pPr>
      <w:r>
        <w:rPr>
          <w:rStyle w:val="FootnoteReference"/>
        </w:rPr>
        <w:t>i</w:t>
      </w:r>
      <w:r>
        <w:t xml:space="preserve"> </w:t>
      </w:r>
      <w:hyperlink r:id="rId1" w:history="1">
        <w:r w:rsidRPr="000C73A8">
          <w:rPr>
            <w:rStyle w:val="Hyperlink"/>
            <w:sz w:val="16"/>
            <w:szCs w:val="16"/>
          </w:rPr>
          <w:t>https://www.esma.europa.eu/databases-library/esma-library?ref=2015/1597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26" w:rsidRDefault="00857F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3D" w:rsidRDefault="00E3723D" w:rsidP="00E3723D">
    <w:pPr>
      <w:pStyle w:val="Header"/>
      <w:jc w:val="right"/>
      <w:rPr>
        <w:b/>
        <w:color w:val="FF0000"/>
      </w:rPr>
    </w:pPr>
  </w:p>
  <w:p w:rsidR="00E3723D" w:rsidRDefault="00E3723D" w:rsidP="00E3723D">
    <w:pPr>
      <w:pStyle w:val="Header"/>
      <w:jc w:val="right"/>
      <w:rPr>
        <w:b/>
        <w:color w:val="FF0000"/>
      </w:rPr>
    </w:pPr>
  </w:p>
  <w:p w:rsidR="00E3723D" w:rsidRPr="0084725C" w:rsidRDefault="00E3723D" w:rsidP="00E3723D">
    <w:pPr>
      <w:pStyle w:val="Header"/>
      <w:tabs>
        <w:tab w:val="left" w:pos="1127"/>
        <w:tab w:val="right" w:pos="9412"/>
      </w:tabs>
      <w:rPr>
        <w:rFonts w:ascii="Arial" w:hAnsi="Arial" w:cs="Arial"/>
        <w:sz w:val="20"/>
      </w:rPr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26" w:rsidRDefault="00857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AE"/>
    <w:rsid w:val="00012C27"/>
    <w:rsid w:val="0001388E"/>
    <w:rsid w:val="000453D7"/>
    <w:rsid w:val="00055452"/>
    <w:rsid w:val="00093477"/>
    <w:rsid w:val="000E6A4C"/>
    <w:rsid w:val="00100A23"/>
    <w:rsid w:val="00113F78"/>
    <w:rsid w:val="00175366"/>
    <w:rsid w:val="001E409C"/>
    <w:rsid w:val="001F0BBA"/>
    <w:rsid w:val="002B5F1E"/>
    <w:rsid w:val="002B73AD"/>
    <w:rsid w:val="003026CC"/>
    <w:rsid w:val="00305DD9"/>
    <w:rsid w:val="00336E0B"/>
    <w:rsid w:val="0039518F"/>
    <w:rsid w:val="003C1866"/>
    <w:rsid w:val="003D2430"/>
    <w:rsid w:val="003F00B3"/>
    <w:rsid w:val="004136BC"/>
    <w:rsid w:val="004814AE"/>
    <w:rsid w:val="00490D77"/>
    <w:rsid w:val="004E299C"/>
    <w:rsid w:val="00522DB7"/>
    <w:rsid w:val="005758A5"/>
    <w:rsid w:val="005D6514"/>
    <w:rsid w:val="006379E1"/>
    <w:rsid w:val="006578B4"/>
    <w:rsid w:val="006873DC"/>
    <w:rsid w:val="006B0272"/>
    <w:rsid w:val="006C2298"/>
    <w:rsid w:val="006D5B08"/>
    <w:rsid w:val="00705E0C"/>
    <w:rsid w:val="00716FE8"/>
    <w:rsid w:val="007501B5"/>
    <w:rsid w:val="00755FE8"/>
    <w:rsid w:val="007774AD"/>
    <w:rsid w:val="007926A3"/>
    <w:rsid w:val="00857F26"/>
    <w:rsid w:val="008B5608"/>
    <w:rsid w:val="00967BE5"/>
    <w:rsid w:val="00A97F8B"/>
    <w:rsid w:val="00AC4D4F"/>
    <w:rsid w:val="00B17FCA"/>
    <w:rsid w:val="00B562B1"/>
    <w:rsid w:val="00B657DD"/>
    <w:rsid w:val="00BB4FBC"/>
    <w:rsid w:val="00BE3ED6"/>
    <w:rsid w:val="00C92E50"/>
    <w:rsid w:val="00CD6F75"/>
    <w:rsid w:val="00DA0AE7"/>
    <w:rsid w:val="00DF07DD"/>
    <w:rsid w:val="00E079EB"/>
    <w:rsid w:val="00E3723D"/>
    <w:rsid w:val="00E82565"/>
    <w:rsid w:val="00EA2F40"/>
    <w:rsid w:val="00EC7C09"/>
    <w:rsid w:val="00E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AE"/>
    <w:pPr>
      <w:spacing w:after="0" w:line="240" w:lineRule="auto"/>
    </w:pPr>
    <w:rPr>
      <w:rFonts w:ascii="Georgia" w:eastAsia="Times New Roman" w:hAnsi="Georgia" w:cs="Times New Roman"/>
      <w:szCs w:val="24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14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4AE"/>
    <w:rPr>
      <w:rFonts w:ascii="Georgia" w:eastAsia="Times New Roman" w:hAnsi="Georgia" w:cs="Times New Roman"/>
      <w:szCs w:val="24"/>
      <w:lang w:eastAsia="sk-SK" w:bidi="sk-SK"/>
    </w:rPr>
  </w:style>
  <w:style w:type="paragraph" w:styleId="Footer">
    <w:name w:val="footer"/>
    <w:basedOn w:val="Normal"/>
    <w:link w:val="FooterChar"/>
    <w:uiPriority w:val="99"/>
    <w:rsid w:val="00481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AE"/>
    <w:rPr>
      <w:rFonts w:ascii="Georgia" w:eastAsia="Times New Roman" w:hAnsi="Georgia" w:cs="Times New Roman"/>
      <w:szCs w:val="24"/>
      <w:lang w:eastAsia="sk-SK" w:bidi="sk-SK"/>
    </w:rPr>
  </w:style>
  <w:style w:type="paragraph" w:customStyle="1" w:styleId="00Footer">
    <w:name w:val="00_Footer"/>
    <w:basedOn w:val="Normal"/>
    <w:uiPriority w:val="99"/>
    <w:rsid w:val="004814AE"/>
    <w:pPr>
      <w:spacing w:line="200" w:lineRule="exact"/>
    </w:pPr>
    <w:rPr>
      <w:color w:val="000000"/>
      <w:sz w:val="16"/>
    </w:rPr>
  </w:style>
  <w:style w:type="paragraph" w:customStyle="1" w:styleId="02Date">
    <w:name w:val="02_Date"/>
    <w:basedOn w:val="Normal"/>
    <w:uiPriority w:val="99"/>
    <w:rsid w:val="004814AE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uiPriority w:val="99"/>
    <w:rsid w:val="004814AE"/>
    <w:pPr>
      <w:spacing w:line="280" w:lineRule="atLeast"/>
      <w:jc w:val="right"/>
    </w:pPr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4814A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CC"/>
    <w:rPr>
      <w:rFonts w:ascii="Tahoma" w:eastAsia="Times New Roman" w:hAnsi="Tahoma" w:cs="Tahoma"/>
      <w:sz w:val="16"/>
      <w:szCs w:val="16"/>
      <w:lang w:eastAsia="sk-SK" w:bidi="sk-SK"/>
    </w:rPr>
  </w:style>
  <w:style w:type="table" w:styleId="TableGrid">
    <w:name w:val="Table Grid"/>
    <w:basedOn w:val="TableNormal"/>
    <w:uiPriority w:val="59"/>
    <w:rsid w:val="0033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F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FBC"/>
    <w:rPr>
      <w:rFonts w:ascii="Georgia" w:eastAsia="Times New Roman" w:hAnsi="Georgia" w:cs="Times New Roman"/>
      <w:sz w:val="20"/>
      <w:szCs w:val="20"/>
      <w:lang w:eastAsia="sk-SK" w:bidi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B4F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4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AE"/>
    <w:pPr>
      <w:spacing w:after="0" w:line="240" w:lineRule="auto"/>
    </w:pPr>
    <w:rPr>
      <w:rFonts w:ascii="Georgia" w:eastAsia="Times New Roman" w:hAnsi="Georgia" w:cs="Times New Roman"/>
      <w:szCs w:val="24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14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4AE"/>
    <w:rPr>
      <w:rFonts w:ascii="Georgia" w:eastAsia="Times New Roman" w:hAnsi="Georgia" w:cs="Times New Roman"/>
      <w:szCs w:val="24"/>
      <w:lang w:eastAsia="sk-SK" w:bidi="sk-SK"/>
    </w:rPr>
  </w:style>
  <w:style w:type="paragraph" w:styleId="Footer">
    <w:name w:val="footer"/>
    <w:basedOn w:val="Normal"/>
    <w:link w:val="FooterChar"/>
    <w:uiPriority w:val="99"/>
    <w:rsid w:val="00481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AE"/>
    <w:rPr>
      <w:rFonts w:ascii="Georgia" w:eastAsia="Times New Roman" w:hAnsi="Georgia" w:cs="Times New Roman"/>
      <w:szCs w:val="24"/>
      <w:lang w:eastAsia="sk-SK" w:bidi="sk-SK"/>
    </w:rPr>
  </w:style>
  <w:style w:type="paragraph" w:customStyle="1" w:styleId="00Footer">
    <w:name w:val="00_Footer"/>
    <w:basedOn w:val="Normal"/>
    <w:uiPriority w:val="99"/>
    <w:rsid w:val="004814AE"/>
    <w:pPr>
      <w:spacing w:line="200" w:lineRule="exact"/>
    </w:pPr>
    <w:rPr>
      <w:color w:val="000000"/>
      <w:sz w:val="16"/>
    </w:rPr>
  </w:style>
  <w:style w:type="paragraph" w:customStyle="1" w:styleId="02Date">
    <w:name w:val="02_Date"/>
    <w:basedOn w:val="Normal"/>
    <w:uiPriority w:val="99"/>
    <w:rsid w:val="004814AE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uiPriority w:val="99"/>
    <w:rsid w:val="004814AE"/>
    <w:pPr>
      <w:spacing w:line="280" w:lineRule="atLeast"/>
      <w:jc w:val="right"/>
    </w:pPr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4814A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CC"/>
    <w:rPr>
      <w:rFonts w:ascii="Tahoma" w:eastAsia="Times New Roman" w:hAnsi="Tahoma" w:cs="Tahoma"/>
      <w:sz w:val="16"/>
      <w:szCs w:val="16"/>
      <w:lang w:eastAsia="sk-SK" w:bidi="sk-SK"/>
    </w:rPr>
  </w:style>
  <w:style w:type="table" w:styleId="TableGrid">
    <w:name w:val="Table Grid"/>
    <w:basedOn w:val="TableNormal"/>
    <w:uiPriority w:val="59"/>
    <w:rsid w:val="0033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F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FBC"/>
    <w:rPr>
      <w:rFonts w:ascii="Georgia" w:eastAsia="Times New Roman" w:hAnsi="Georgia" w:cs="Times New Roman"/>
      <w:sz w:val="20"/>
      <w:szCs w:val="20"/>
      <w:lang w:eastAsia="sk-SK" w:bidi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B4F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4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ma.europa.eu/databases-library/esma-library?ref=2015/1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2017-02-10T10:57:00Z</dcterms:created>
  <dcterms:modified xsi:type="dcterms:W3CDTF">2017-02-10T10:57:00Z</dcterms:modified>
</cp:coreProperties>
</file>