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00D1" w14:textId="77777777" w:rsidR="0075020A" w:rsidRPr="007E0F94" w:rsidRDefault="004B2681" w:rsidP="004B2681">
      <w:pPr>
        <w:jc w:val="right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Annex 2</w:t>
      </w:r>
    </w:p>
    <w:p w14:paraId="2BEC3894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204359C3" w14:textId="2A3618CB" w:rsidR="0075020A" w:rsidRPr="007E0F94" w:rsidRDefault="004B2681" w:rsidP="008F6035">
      <w:pPr>
        <w:jc w:val="center"/>
        <w:rPr>
          <w:b/>
          <w:sz w:val="28"/>
          <w:szCs w:val="28"/>
        </w:rPr>
      </w:pPr>
      <w:r w:rsidRPr="007E0F94">
        <w:rPr>
          <w:b/>
          <w:sz w:val="28"/>
          <w:szCs w:val="28"/>
        </w:rPr>
        <w:t>Instructions for completing selected fields in the notification</w:t>
      </w:r>
      <w:r w:rsidR="005E18C0" w:rsidRPr="007E0F94">
        <w:rPr>
          <w:b/>
          <w:sz w:val="28"/>
          <w:szCs w:val="28"/>
        </w:rPr>
        <w:t xml:space="preserve"> template</w:t>
      </w:r>
    </w:p>
    <w:p w14:paraId="52D75911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53F81ECF" w14:textId="0511D664" w:rsidR="001F35B3" w:rsidRPr="007E0F94" w:rsidRDefault="004B2681" w:rsidP="004B2681">
      <w:pPr>
        <w:spacing w:before="120"/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Section C: Intragroup</w:t>
      </w:r>
      <w:r w:rsidR="001F35B3" w:rsidRPr="007E0F94">
        <w:rPr>
          <w:b/>
          <w:bCs/>
          <w:sz w:val="24"/>
          <w:szCs w:val="24"/>
        </w:rPr>
        <w:t xml:space="preserve"> r</w:t>
      </w:r>
      <w:r w:rsidRPr="007E0F94">
        <w:rPr>
          <w:b/>
          <w:bCs/>
          <w:sz w:val="24"/>
          <w:szCs w:val="24"/>
        </w:rPr>
        <w:t>elationship</w:t>
      </w:r>
    </w:p>
    <w:p w14:paraId="0BE8FA64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2A80C91A" w14:textId="2831BFA0" w:rsidR="0075020A" w:rsidRPr="007E0F94" w:rsidRDefault="004B2681" w:rsidP="004B2681">
      <w:p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To be stated in field C1a:</w:t>
      </w:r>
    </w:p>
    <w:p w14:paraId="1808B135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29AFC1D0" w14:textId="179115C6" w:rsidR="0075020A" w:rsidRPr="007E0F94" w:rsidRDefault="004B2681" w:rsidP="004B2681">
      <w:p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Organi</w:t>
      </w:r>
      <w:r w:rsidR="0090140A" w:rsidRPr="007E0F94">
        <w:rPr>
          <w:sz w:val="24"/>
          <w:szCs w:val="24"/>
        </w:rPr>
        <w:t>s</w:t>
      </w:r>
      <w:r w:rsidRPr="007E0F94">
        <w:rPr>
          <w:sz w:val="24"/>
          <w:szCs w:val="24"/>
        </w:rPr>
        <w:t>ational structure within the group (may also be stated separately in an annex to the completed template).</w:t>
      </w:r>
    </w:p>
    <w:p w14:paraId="56AB1A75" w14:textId="77777777" w:rsidR="0075020A" w:rsidRPr="007E0F94" w:rsidRDefault="0075020A" w:rsidP="004B2681">
      <w:pPr>
        <w:jc w:val="both"/>
        <w:rPr>
          <w:sz w:val="24"/>
          <w:szCs w:val="24"/>
        </w:rPr>
      </w:pPr>
    </w:p>
    <w:p w14:paraId="7D22E8CC" w14:textId="2082FE05" w:rsidR="0075020A" w:rsidRPr="007E0F94" w:rsidRDefault="004B2681" w:rsidP="004B2681">
      <w:p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To be stated in field C3:</w:t>
      </w:r>
    </w:p>
    <w:p w14:paraId="5C57CF65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3F49C256" w14:textId="3F2FABBC" w:rsidR="0075020A" w:rsidRPr="007E0F94" w:rsidRDefault="004B2681" w:rsidP="004B2681">
      <w:pPr>
        <w:jc w:val="both"/>
        <w:rPr>
          <w:sz w:val="24"/>
          <w:szCs w:val="24"/>
        </w:rPr>
      </w:pPr>
      <w:r w:rsidRPr="007E0F94">
        <w:rPr>
          <w:sz w:val="24"/>
          <w:szCs w:val="24"/>
        </w:rPr>
        <w:t xml:space="preserve">Whether the requesting counterparty and counterparty within the group are included in </w:t>
      </w:r>
      <w:r w:rsidR="005E18C0" w:rsidRPr="007E0F94">
        <w:rPr>
          <w:sz w:val="24"/>
          <w:szCs w:val="24"/>
        </w:rPr>
        <w:t>a</w:t>
      </w:r>
      <w:r w:rsidRPr="007E0F94">
        <w:rPr>
          <w:sz w:val="24"/>
          <w:szCs w:val="24"/>
        </w:rPr>
        <w:t xml:space="preserve"> consolidation:</w:t>
      </w:r>
    </w:p>
    <w:p w14:paraId="0BB12A32" w14:textId="454EE91B" w:rsidR="0075020A" w:rsidRPr="007E0F94" w:rsidRDefault="004B2681" w:rsidP="004B268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in accordance with Directive 83/349/EEC or International Financial Reporting Standards</w:t>
      </w:r>
      <w:r w:rsidR="00AE41B2" w:rsidRPr="007E0F94">
        <w:rPr>
          <w:sz w:val="24"/>
          <w:szCs w:val="24"/>
        </w:rPr>
        <w:t xml:space="preserve"> (IFRS)</w:t>
      </w:r>
      <w:r w:rsidRPr="007E0F94">
        <w:rPr>
          <w:sz w:val="24"/>
          <w:szCs w:val="24"/>
        </w:rPr>
        <w:t xml:space="preserve"> adopted pursuant to Regulation (EC) No 1606/2002; or</w:t>
      </w:r>
    </w:p>
    <w:p w14:paraId="26AC888C" w14:textId="22DC1554" w:rsidR="0075020A" w:rsidRPr="007E0F94" w:rsidRDefault="004B2681" w:rsidP="004B268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in relation to a group the parent undertaking of which has its head office in a third country, in accordance with generally accepted accounting principles of a third country determined to be equivalent to I</w:t>
      </w:r>
      <w:r w:rsidR="00AE41B2" w:rsidRPr="007E0F94">
        <w:rPr>
          <w:sz w:val="24"/>
          <w:szCs w:val="24"/>
        </w:rPr>
        <w:t xml:space="preserve">FRS </w:t>
      </w:r>
      <w:r w:rsidRPr="007E0F94">
        <w:rPr>
          <w:sz w:val="24"/>
          <w:szCs w:val="24"/>
        </w:rPr>
        <w:t>in accordance with Regulation (EC) No 1569/2007 (or accounting standards of a third country the use of which is permitted in accordance with Article 4 of that Regulation).</w:t>
      </w:r>
    </w:p>
    <w:p w14:paraId="43FF282B" w14:textId="4DA1962A" w:rsidR="0075020A" w:rsidRPr="007E0F94" w:rsidRDefault="0075020A" w:rsidP="004B2681">
      <w:pPr>
        <w:jc w:val="both"/>
        <w:rPr>
          <w:sz w:val="24"/>
          <w:szCs w:val="24"/>
        </w:rPr>
      </w:pPr>
    </w:p>
    <w:p w14:paraId="2EB4D423" w14:textId="2FBC3DC5" w:rsidR="0075020A" w:rsidRPr="007E0F94" w:rsidRDefault="004B2681" w:rsidP="004B2681">
      <w:p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To be stated in field C5:</w:t>
      </w:r>
    </w:p>
    <w:p w14:paraId="639A6D81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6A3B065F" w14:textId="77777777" w:rsidR="0075020A" w:rsidRPr="007E0F94" w:rsidRDefault="004B2681" w:rsidP="004B2681">
      <w:p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Whether the requesting counterparty and counterparty within the group are covered by the same consolidated supervision:</w:t>
      </w:r>
    </w:p>
    <w:p w14:paraId="75706B89" w14:textId="77777777" w:rsidR="0075020A" w:rsidRPr="007E0F94" w:rsidRDefault="004B2681" w:rsidP="004B268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in accordance with Directive 2006/48/EC or Directive 2006/49/EC; or</w:t>
      </w:r>
    </w:p>
    <w:p w14:paraId="74DA5EBA" w14:textId="77777777" w:rsidR="0075020A" w:rsidRPr="007E0F94" w:rsidRDefault="004B2681" w:rsidP="004B268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in relation to a group the parent undertaking of which has its head office in a third country, the same consolidated supervision by a third-country competent authority verified as equivalent to that governed by the principles laid down in Article 143 of Directive 2006/48/EC or in Article 2 of Directive 2006/49/EC.</w:t>
      </w:r>
    </w:p>
    <w:p w14:paraId="7870FE6D" w14:textId="12B746B5" w:rsidR="0075020A" w:rsidRPr="007E0F94" w:rsidRDefault="0075020A" w:rsidP="007E0F94">
      <w:pPr>
        <w:pStyle w:val="ListParagraph"/>
        <w:ind w:left="360"/>
        <w:rPr>
          <w:sz w:val="24"/>
          <w:szCs w:val="24"/>
        </w:rPr>
      </w:pPr>
    </w:p>
    <w:p w14:paraId="21DD9B5A" w14:textId="3667DDE2" w:rsidR="0075020A" w:rsidRPr="007E0F94" w:rsidRDefault="004B2681" w:rsidP="004B2681">
      <w:p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To be stated in field C6:</w:t>
      </w:r>
    </w:p>
    <w:p w14:paraId="49B7EFC8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4D9D99FF" w14:textId="3C2C456D" w:rsidR="0075020A" w:rsidRPr="007E0F94" w:rsidRDefault="004B2681" w:rsidP="004B2681">
      <w:p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If the parent undertaking has its head office in Slovak</w:t>
      </w:r>
      <w:r w:rsidR="00115D98" w:rsidRPr="007E0F94">
        <w:rPr>
          <w:sz w:val="24"/>
          <w:szCs w:val="24"/>
        </w:rPr>
        <w:t>ia</w:t>
      </w:r>
      <w:r w:rsidRPr="007E0F94">
        <w:rPr>
          <w:sz w:val="24"/>
          <w:szCs w:val="24"/>
        </w:rPr>
        <w:t>: Národná banka Slovenska</w:t>
      </w:r>
      <w:r w:rsidR="001F35B3" w:rsidRPr="007E0F94">
        <w:rPr>
          <w:sz w:val="24"/>
          <w:szCs w:val="24"/>
        </w:rPr>
        <w:t>.</w:t>
      </w:r>
    </w:p>
    <w:p w14:paraId="32299E5C" w14:textId="77777777" w:rsidR="0075020A" w:rsidRPr="007E0F94" w:rsidRDefault="004B2681" w:rsidP="004B2681">
      <w:pPr>
        <w:jc w:val="both"/>
        <w:rPr>
          <w:sz w:val="24"/>
          <w:szCs w:val="24"/>
        </w:rPr>
      </w:pPr>
      <w:r w:rsidRPr="007E0F94">
        <w:rPr>
          <w:sz w:val="24"/>
          <w:szCs w:val="24"/>
        </w:rPr>
        <w:t>If the parent undertaking has its head office in another Member State or in a third country: the relevant competent authority (national competent authority).</w:t>
      </w:r>
    </w:p>
    <w:p w14:paraId="352C587B" w14:textId="77777777" w:rsidR="00562E9E" w:rsidRPr="007E0F94" w:rsidRDefault="00562E9E" w:rsidP="004B2681">
      <w:pPr>
        <w:jc w:val="both"/>
        <w:rPr>
          <w:sz w:val="24"/>
          <w:szCs w:val="24"/>
        </w:rPr>
      </w:pPr>
    </w:p>
    <w:p w14:paraId="08404C8D" w14:textId="7E9C5FBC" w:rsidR="001F35B3" w:rsidRPr="007E0F94" w:rsidRDefault="004B2681" w:rsidP="004B2681">
      <w:pPr>
        <w:spacing w:before="120"/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 xml:space="preserve">Section D: </w:t>
      </w:r>
      <w:r w:rsidR="001F35B3" w:rsidRPr="007E0F94">
        <w:rPr>
          <w:b/>
          <w:bCs/>
          <w:sz w:val="24"/>
          <w:szCs w:val="24"/>
        </w:rPr>
        <w:t>Centralised risk management</w:t>
      </w:r>
    </w:p>
    <w:p w14:paraId="5011A6BB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6397400C" w14:textId="50364274" w:rsidR="0075020A" w:rsidRPr="007E0F94" w:rsidRDefault="004B2681" w:rsidP="004B2681">
      <w:p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To be stated in field D2:</w:t>
      </w:r>
    </w:p>
    <w:p w14:paraId="4CA032E8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3C8103B9" w14:textId="77777777" w:rsidR="0075020A" w:rsidRPr="007E0F94" w:rsidRDefault="004B2681" w:rsidP="004B2681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7E0F94">
        <w:rPr>
          <w:b/>
          <w:sz w:val="24"/>
          <w:szCs w:val="24"/>
        </w:rPr>
        <w:t>Centralised risk management</w:t>
      </w:r>
    </w:p>
    <w:p w14:paraId="3C78A840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7BDB6322" w14:textId="1B1A9D29" w:rsidR="0075020A" w:rsidRPr="007E0F94" w:rsidRDefault="004B2681" w:rsidP="004B2681">
      <w:pPr>
        <w:jc w:val="both"/>
        <w:rPr>
          <w:sz w:val="24"/>
          <w:szCs w:val="24"/>
        </w:rPr>
      </w:pPr>
      <w:r w:rsidRPr="007E0F94">
        <w:rPr>
          <w:sz w:val="24"/>
          <w:szCs w:val="24"/>
        </w:rPr>
        <w:t xml:space="preserve">Evidence that both counterparties (the group) are subject to appropriate centralised risk evaluation, </w:t>
      </w:r>
      <w:proofErr w:type="gramStart"/>
      <w:r w:rsidRPr="007E0F94">
        <w:rPr>
          <w:sz w:val="24"/>
          <w:szCs w:val="24"/>
        </w:rPr>
        <w:t>measurement</w:t>
      </w:r>
      <w:proofErr w:type="gramEnd"/>
      <w:r w:rsidRPr="007E0F94">
        <w:rPr>
          <w:sz w:val="24"/>
          <w:szCs w:val="24"/>
        </w:rPr>
        <w:t xml:space="preserve"> and control procedures pursuant to Article 3(2)(a)(iv) and Article 3(2)(d) of EMIR. </w:t>
      </w:r>
      <w:r w:rsidR="00A96D52" w:rsidRPr="007E0F94">
        <w:rPr>
          <w:sz w:val="24"/>
          <w:szCs w:val="24"/>
        </w:rPr>
        <w:t>It is sufficient to provide i</w:t>
      </w:r>
      <w:r w:rsidRPr="007E0F94">
        <w:rPr>
          <w:sz w:val="24"/>
          <w:szCs w:val="24"/>
        </w:rPr>
        <w:t>nformation for the group. If there are different procedures for certain entities within the group (</w:t>
      </w:r>
      <w:r w:rsidR="00950DE4" w:rsidRPr="007E0F94">
        <w:rPr>
          <w:sz w:val="24"/>
          <w:szCs w:val="24"/>
        </w:rPr>
        <w:t>applicant</w:t>
      </w:r>
      <w:r w:rsidRPr="007E0F94">
        <w:rPr>
          <w:sz w:val="24"/>
          <w:szCs w:val="24"/>
        </w:rPr>
        <w:t xml:space="preserve"> counterparty and </w:t>
      </w:r>
      <w:r w:rsidR="006A0E57" w:rsidRPr="007E0F94">
        <w:rPr>
          <w:sz w:val="24"/>
          <w:szCs w:val="24"/>
        </w:rPr>
        <w:t xml:space="preserve">intragroup </w:t>
      </w:r>
      <w:r w:rsidRPr="007E0F94">
        <w:rPr>
          <w:sz w:val="24"/>
          <w:szCs w:val="24"/>
        </w:rPr>
        <w:t xml:space="preserve">counterparty), those procedures </w:t>
      </w:r>
      <w:r w:rsidR="00A96D52" w:rsidRPr="007E0F94">
        <w:rPr>
          <w:sz w:val="24"/>
          <w:szCs w:val="24"/>
        </w:rPr>
        <w:t xml:space="preserve">are to </w:t>
      </w:r>
      <w:r w:rsidRPr="007E0F94">
        <w:rPr>
          <w:sz w:val="24"/>
          <w:szCs w:val="24"/>
        </w:rPr>
        <w:t>be defined in detail in accordance with point B (attached information may be stated in separate annexes to the completed template with the</w:t>
      </w:r>
      <w:r w:rsidR="00A96D52" w:rsidRPr="007E0F94">
        <w:rPr>
          <w:sz w:val="24"/>
          <w:szCs w:val="24"/>
        </w:rPr>
        <w:t xml:space="preserve"> annex</w:t>
      </w:r>
      <w:r w:rsidRPr="007E0F94">
        <w:rPr>
          <w:sz w:val="24"/>
          <w:szCs w:val="24"/>
        </w:rPr>
        <w:t xml:space="preserve"> numbers indicated in field D2).</w:t>
      </w:r>
    </w:p>
    <w:p w14:paraId="4B77486E" w14:textId="77777777" w:rsidR="00833B48" w:rsidRPr="007E0F94" w:rsidRDefault="00833B48" w:rsidP="004B2681">
      <w:pPr>
        <w:jc w:val="both"/>
        <w:rPr>
          <w:sz w:val="24"/>
          <w:szCs w:val="24"/>
        </w:rPr>
      </w:pPr>
    </w:p>
    <w:p w14:paraId="2A76FEEC" w14:textId="77777777" w:rsidR="0075020A" w:rsidRPr="007E0F94" w:rsidRDefault="004B2681" w:rsidP="004B2681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Risk management policies and controls</w:t>
      </w:r>
    </w:p>
    <w:p w14:paraId="321E690B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53B0A582" w14:textId="670BFEAA" w:rsidR="0075020A" w:rsidRPr="007E0F94" w:rsidRDefault="004B2681" w:rsidP="004B2681">
      <w:pPr>
        <w:jc w:val="both"/>
        <w:rPr>
          <w:i/>
          <w:sz w:val="24"/>
          <w:szCs w:val="24"/>
        </w:rPr>
      </w:pPr>
      <w:r w:rsidRPr="007E0F94">
        <w:rPr>
          <w:i/>
          <w:sz w:val="24"/>
          <w:szCs w:val="24"/>
        </w:rPr>
        <w:t>(</w:t>
      </w:r>
      <w:r w:rsidR="004707B5" w:rsidRPr="007E0F94">
        <w:rPr>
          <w:i/>
          <w:sz w:val="24"/>
          <w:szCs w:val="24"/>
        </w:rPr>
        <w:t>P</w:t>
      </w:r>
      <w:r w:rsidRPr="007E0F94">
        <w:rPr>
          <w:i/>
          <w:sz w:val="24"/>
          <w:szCs w:val="24"/>
        </w:rPr>
        <w:t>lease describe the risk management and risk control policies</w:t>
      </w:r>
      <w:r w:rsidR="00074052" w:rsidRPr="007E0F94">
        <w:rPr>
          <w:i/>
          <w:sz w:val="24"/>
          <w:szCs w:val="24"/>
        </w:rPr>
        <w:t>,</w:t>
      </w:r>
      <w:r w:rsidRPr="007E0F94">
        <w:rPr>
          <w:i/>
          <w:sz w:val="24"/>
          <w:szCs w:val="24"/>
        </w:rPr>
        <w:t xml:space="preserve"> including how those policies are centrally defined and applied</w:t>
      </w:r>
      <w:r w:rsidR="004707B5" w:rsidRPr="007E0F94">
        <w:rPr>
          <w:i/>
          <w:sz w:val="24"/>
          <w:szCs w:val="24"/>
        </w:rPr>
        <w:t>.</w:t>
      </w:r>
      <w:r w:rsidRPr="007E0F94">
        <w:rPr>
          <w:i/>
          <w:sz w:val="24"/>
          <w:szCs w:val="24"/>
        </w:rPr>
        <w:t>)</w:t>
      </w:r>
    </w:p>
    <w:p w14:paraId="59F5DF7C" w14:textId="77777777" w:rsidR="00833B48" w:rsidRPr="007E0F94" w:rsidRDefault="00833B48" w:rsidP="004B2681">
      <w:pPr>
        <w:jc w:val="both"/>
        <w:rPr>
          <w:i/>
          <w:sz w:val="24"/>
          <w:szCs w:val="24"/>
        </w:rPr>
      </w:pPr>
    </w:p>
    <w:p w14:paraId="3ACA5640" w14:textId="77777777" w:rsidR="0075020A" w:rsidRPr="007E0F94" w:rsidRDefault="004B2681" w:rsidP="004B2681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Senior management</w:t>
      </w:r>
    </w:p>
    <w:p w14:paraId="7F5BAFE9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7B78759A" w14:textId="6BBD779B" w:rsidR="0075020A" w:rsidRPr="007E0F94" w:rsidRDefault="004B2681" w:rsidP="004B2681">
      <w:pPr>
        <w:jc w:val="both"/>
        <w:rPr>
          <w:i/>
          <w:sz w:val="24"/>
          <w:szCs w:val="24"/>
        </w:rPr>
      </w:pPr>
      <w:r w:rsidRPr="007E0F94">
        <w:rPr>
          <w:i/>
          <w:sz w:val="24"/>
          <w:szCs w:val="24"/>
        </w:rPr>
        <w:t>(</w:t>
      </w:r>
      <w:r w:rsidR="004707B5" w:rsidRPr="007E0F94">
        <w:rPr>
          <w:i/>
          <w:sz w:val="24"/>
          <w:szCs w:val="24"/>
        </w:rPr>
        <w:t>P</w:t>
      </w:r>
      <w:r w:rsidRPr="007E0F94">
        <w:rPr>
          <w:i/>
          <w:sz w:val="24"/>
          <w:szCs w:val="24"/>
        </w:rPr>
        <w:t xml:space="preserve">lease demonstrate that senior management is responsible for risk management and </w:t>
      </w:r>
      <w:r w:rsidR="00583C75" w:rsidRPr="007E0F94">
        <w:rPr>
          <w:i/>
          <w:sz w:val="24"/>
          <w:szCs w:val="24"/>
        </w:rPr>
        <w:t xml:space="preserve">that risk measurement </w:t>
      </w:r>
      <w:r w:rsidR="004707B5" w:rsidRPr="007E0F94">
        <w:rPr>
          <w:i/>
          <w:sz w:val="24"/>
          <w:szCs w:val="24"/>
        </w:rPr>
        <w:t>is being per</w:t>
      </w:r>
      <w:r w:rsidR="00AC6A32" w:rsidRPr="007E0F94">
        <w:rPr>
          <w:i/>
          <w:sz w:val="24"/>
          <w:szCs w:val="24"/>
        </w:rPr>
        <w:t>iodically reviewed</w:t>
      </w:r>
      <w:r w:rsidR="004707B5" w:rsidRPr="007E0F94">
        <w:rPr>
          <w:i/>
          <w:sz w:val="24"/>
          <w:szCs w:val="24"/>
        </w:rPr>
        <w:t>.</w:t>
      </w:r>
      <w:r w:rsidRPr="007E0F94">
        <w:rPr>
          <w:i/>
          <w:sz w:val="24"/>
          <w:szCs w:val="24"/>
        </w:rPr>
        <w:t>)</w:t>
      </w:r>
    </w:p>
    <w:p w14:paraId="2C68776D" w14:textId="77777777" w:rsidR="00833B48" w:rsidRPr="007E0F94" w:rsidRDefault="00833B48" w:rsidP="004B2681">
      <w:pPr>
        <w:jc w:val="both"/>
        <w:rPr>
          <w:i/>
          <w:sz w:val="24"/>
          <w:szCs w:val="24"/>
        </w:rPr>
      </w:pPr>
    </w:p>
    <w:p w14:paraId="57448DCE" w14:textId="77777777" w:rsidR="0075020A" w:rsidRPr="007E0F94" w:rsidRDefault="004B2681" w:rsidP="004B2681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Transparent communication mechanisms</w:t>
      </w:r>
    </w:p>
    <w:p w14:paraId="7C00F139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4B330C4C" w14:textId="061AE52A" w:rsidR="0075020A" w:rsidRPr="007E0F94" w:rsidRDefault="004B2681" w:rsidP="004B2681">
      <w:pPr>
        <w:jc w:val="both"/>
        <w:rPr>
          <w:i/>
          <w:sz w:val="24"/>
          <w:szCs w:val="24"/>
        </w:rPr>
      </w:pPr>
      <w:r w:rsidRPr="007E0F94">
        <w:rPr>
          <w:i/>
          <w:sz w:val="24"/>
          <w:szCs w:val="24"/>
        </w:rPr>
        <w:t>(</w:t>
      </w:r>
      <w:r w:rsidR="004707B5" w:rsidRPr="007E0F94">
        <w:rPr>
          <w:i/>
          <w:sz w:val="24"/>
          <w:szCs w:val="24"/>
        </w:rPr>
        <w:t>P</w:t>
      </w:r>
      <w:r w:rsidRPr="007E0F94">
        <w:rPr>
          <w:i/>
          <w:sz w:val="24"/>
          <w:szCs w:val="24"/>
        </w:rPr>
        <w:t xml:space="preserve">lease demonstrate that </w:t>
      </w:r>
      <w:r w:rsidR="00EF6EC4" w:rsidRPr="007E0F94">
        <w:rPr>
          <w:i/>
          <w:sz w:val="24"/>
          <w:szCs w:val="24"/>
        </w:rPr>
        <w:t xml:space="preserve">the organisation has in place </w:t>
      </w:r>
      <w:r w:rsidRPr="007E0F94">
        <w:rPr>
          <w:i/>
          <w:sz w:val="24"/>
          <w:szCs w:val="24"/>
        </w:rPr>
        <w:t>regular and transparent communication mechanisms</w:t>
      </w:r>
      <w:r w:rsidR="004707B5" w:rsidRPr="007E0F94">
        <w:rPr>
          <w:i/>
          <w:sz w:val="24"/>
          <w:szCs w:val="24"/>
        </w:rPr>
        <w:t>,</w:t>
      </w:r>
      <w:r w:rsidRPr="007E0F94">
        <w:rPr>
          <w:i/>
          <w:sz w:val="24"/>
          <w:szCs w:val="24"/>
        </w:rPr>
        <w:t xml:space="preserve"> s</w:t>
      </w:r>
      <w:r w:rsidR="004707B5" w:rsidRPr="007E0F94">
        <w:rPr>
          <w:i/>
          <w:sz w:val="24"/>
          <w:szCs w:val="24"/>
        </w:rPr>
        <w:t>uch</w:t>
      </w:r>
      <w:r w:rsidRPr="007E0F94">
        <w:rPr>
          <w:i/>
          <w:sz w:val="24"/>
          <w:szCs w:val="24"/>
        </w:rPr>
        <w:t xml:space="preserve"> that the </w:t>
      </w:r>
      <w:r w:rsidR="004707B5" w:rsidRPr="007E0F94">
        <w:rPr>
          <w:i/>
          <w:sz w:val="24"/>
          <w:szCs w:val="24"/>
        </w:rPr>
        <w:t xml:space="preserve">management </w:t>
      </w:r>
      <w:r w:rsidRPr="007E0F94">
        <w:rPr>
          <w:i/>
          <w:sz w:val="24"/>
          <w:szCs w:val="24"/>
        </w:rPr>
        <w:t xml:space="preserve">board, senior management, relevant business </w:t>
      </w:r>
      <w:r w:rsidR="004707B5" w:rsidRPr="007E0F94">
        <w:rPr>
          <w:i/>
          <w:sz w:val="24"/>
          <w:szCs w:val="24"/>
        </w:rPr>
        <w:t>line</w:t>
      </w:r>
      <w:r w:rsidRPr="007E0F94">
        <w:rPr>
          <w:i/>
          <w:sz w:val="24"/>
          <w:szCs w:val="24"/>
        </w:rPr>
        <w:t>, risk management function</w:t>
      </w:r>
      <w:r w:rsidR="00E85F51" w:rsidRPr="007E0F94">
        <w:rPr>
          <w:i/>
          <w:sz w:val="24"/>
          <w:szCs w:val="24"/>
        </w:rPr>
        <w:t>,</w:t>
      </w:r>
      <w:r w:rsidRPr="007E0F94">
        <w:rPr>
          <w:i/>
          <w:sz w:val="24"/>
          <w:szCs w:val="24"/>
        </w:rPr>
        <w:t xml:space="preserve"> and other control functions c</w:t>
      </w:r>
      <w:r w:rsidR="004707B5" w:rsidRPr="007E0F94">
        <w:rPr>
          <w:i/>
          <w:sz w:val="24"/>
          <w:szCs w:val="24"/>
        </w:rPr>
        <w:t>an</w:t>
      </w:r>
      <w:r w:rsidRPr="007E0F94">
        <w:rPr>
          <w:i/>
          <w:sz w:val="24"/>
          <w:szCs w:val="24"/>
        </w:rPr>
        <w:t xml:space="preserve"> share information on </w:t>
      </w:r>
      <w:r w:rsidR="004707B5" w:rsidRPr="007E0F94">
        <w:rPr>
          <w:i/>
          <w:sz w:val="24"/>
          <w:szCs w:val="24"/>
        </w:rPr>
        <w:t>the</w:t>
      </w:r>
      <w:r w:rsidRPr="007E0F94">
        <w:rPr>
          <w:i/>
          <w:sz w:val="24"/>
          <w:szCs w:val="24"/>
        </w:rPr>
        <w:t xml:space="preserve"> measurement, analysis and monitoring</w:t>
      </w:r>
      <w:r w:rsidR="004707B5" w:rsidRPr="007E0F94">
        <w:rPr>
          <w:i/>
          <w:sz w:val="24"/>
          <w:szCs w:val="24"/>
        </w:rPr>
        <w:t xml:space="preserve"> of risk</w:t>
      </w:r>
      <w:r w:rsidR="00005A83" w:rsidRPr="007E0F94">
        <w:rPr>
          <w:i/>
          <w:sz w:val="24"/>
          <w:szCs w:val="24"/>
        </w:rPr>
        <w:t>s</w:t>
      </w:r>
      <w:r w:rsidR="004707B5" w:rsidRPr="007E0F94">
        <w:rPr>
          <w:i/>
          <w:sz w:val="24"/>
          <w:szCs w:val="24"/>
        </w:rPr>
        <w:t>.</w:t>
      </w:r>
      <w:r w:rsidRPr="007E0F94">
        <w:rPr>
          <w:i/>
          <w:sz w:val="24"/>
          <w:szCs w:val="24"/>
        </w:rPr>
        <w:t>)</w:t>
      </w:r>
    </w:p>
    <w:p w14:paraId="0EBAB192" w14:textId="77777777" w:rsidR="00833B48" w:rsidRPr="007E0F94" w:rsidRDefault="00833B48" w:rsidP="004B2681">
      <w:pPr>
        <w:jc w:val="both"/>
        <w:rPr>
          <w:i/>
          <w:sz w:val="24"/>
          <w:szCs w:val="24"/>
        </w:rPr>
      </w:pPr>
    </w:p>
    <w:p w14:paraId="006B8B5E" w14:textId="77777777" w:rsidR="0075020A" w:rsidRPr="007E0F94" w:rsidRDefault="004B2681" w:rsidP="004B2681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Internal procedures and information systems</w:t>
      </w:r>
    </w:p>
    <w:p w14:paraId="38CE3AC3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5AB12BB9" w14:textId="63FE4B9B" w:rsidR="0075020A" w:rsidRPr="007E0F94" w:rsidRDefault="004B2681" w:rsidP="004B2681">
      <w:pPr>
        <w:jc w:val="both"/>
        <w:rPr>
          <w:i/>
          <w:sz w:val="24"/>
          <w:szCs w:val="24"/>
        </w:rPr>
      </w:pPr>
      <w:r w:rsidRPr="007E0F94">
        <w:rPr>
          <w:i/>
          <w:sz w:val="24"/>
          <w:szCs w:val="24"/>
        </w:rPr>
        <w:t>(</w:t>
      </w:r>
      <w:r w:rsidR="004707B5" w:rsidRPr="007E0F94">
        <w:rPr>
          <w:i/>
          <w:sz w:val="24"/>
          <w:szCs w:val="24"/>
        </w:rPr>
        <w:t>P</w:t>
      </w:r>
      <w:r w:rsidRPr="007E0F94">
        <w:rPr>
          <w:i/>
          <w:sz w:val="24"/>
          <w:szCs w:val="24"/>
        </w:rPr>
        <w:t xml:space="preserve">lease demonstrate that internal procedures and information systems are consistent throughout the institution and </w:t>
      </w:r>
      <w:r w:rsidR="00EC4184" w:rsidRPr="007E0F94">
        <w:rPr>
          <w:i/>
          <w:sz w:val="24"/>
          <w:szCs w:val="24"/>
        </w:rPr>
        <w:t xml:space="preserve">are </w:t>
      </w:r>
      <w:r w:rsidRPr="007E0F94">
        <w:rPr>
          <w:i/>
          <w:sz w:val="24"/>
          <w:szCs w:val="24"/>
        </w:rPr>
        <w:t>sufficiently reliable</w:t>
      </w:r>
      <w:r w:rsidR="004707B5" w:rsidRPr="007E0F94">
        <w:rPr>
          <w:i/>
          <w:sz w:val="24"/>
          <w:szCs w:val="24"/>
        </w:rPr>
        <w:t xml:space="preserve">, thereby </w:t>
      </w:r>
      <w:r w:rsidRPr="007E0F94">
        <w:rPr>
          <w:i/>
          <w:sz w:val="24"/>
          <w:szCs w:val="24"/>
        </w:rPr>
        <w:t>enabl</w:t>
      </w:r>
      <w:r w:rsidR="004707B5" w:rsidRPr="007E0F94">
        <w:rPr>
          <w:i/>
          <w:sz w:val="24"/>
          <w:szCs w:val="24"/>
        </w:rPr>
        <w:t>ing</w:t>
      </w:r>
      <w:r w:rsidRPr="007E0F94">
        <w:rPr>
          <w:i/>
          <w:sz w:val="24"/>
          <w:szCs w:val="24"/>
        </w:rPr>
        <w:t xml:space="preserve"> all sources of relevant risks to be identified, measured and monitored on an aggregated basis and to the extent necessary for the entity, business line</w:t>
      </w:r>
      <w:r w:rsidR="00EC4184" w:rsidRPr="007E0F94">
        <w:rPr>
          <w:i/>
          <w:sz w:val="24"/>
          <w:szCs w:val="24"/>
        </w:rPr>
        <w:t>,</w:t>
      </w:r>
      <w:r w:rsidRPr="007E0F94">
        <w:rPr>
          <w:i/>
          <w:sz w:val="24"/>
          <w:szCs w:val="24"/>
        </w:rPr>
        <w:t xml:space="preserve"> and portfolio</w:t>
      </w:r>
      <w:r w:rsidR="004707B5" w:rsidRPr="007E0F94">
        <w:rPr>
          <w:i/>
          <w:sz w:val="24"/>
          <w:szCs w:val="24"/>
        </w:rPr>
        <w:t>.</w:t>
      </w:r>
      <w:r w:rsidRPr="007E0F94">
        <w:rPr>
          <w:i/>
          <w:sz w:val="24"/>
          <w:szCs w:val="24"/>
        </w:rPr>
        <w:t>)</w:t>
      </w:r>
    </w:p>
    <w:p w14:paraId="10656E8A" w14:textId="77777777" w:rsidR="00833B48" w:rsidRPr="007E0F94" w:rsidRDefault="00833B48" w:rsidP="004B2681">
      <w:pPr>
        <w:jc w:val="both"/>
        <w:rPr>
          <w:i/>
          <w:sz w:val="24"/>
          <w:szCs w:val="24"/>
        </w:rPr>
      </w:pPr>
    </w:p>
    <w:p w14:paraId="59E73830" w14:textId="77777777" w:rsidR="0075020A" w:rsidRPr="007E0F94" w:rsidRDefault="004B2681" w:rsidP="004B2681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7E0F94">
        <w:rPr>
          <w:b/>
          <w:bCs/>
          <w:sz w:val="24"/>
          <w:szCs w:val="24"/>
        </w:rPr>
        <w:t>Regular reporting to central risk management</w:t>
      </w:r>
    </w:p>
    <w:p w14:paraId="16637D6E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01CF9F56" w14:textId="704F0D09" w:rsidR="0075020A" w:rsidRPr="007E0F94" w:rsidRDefault="004B2681" w:rsidP="004B2681">
      <w:pPr>
        <w:jc w:val="both"/>
        <w:rPr>
          <w:i/>
          <w:sz w:val="24"/>
          <w:szCs w:val="24"/>
        </w:rPr>
      </w:pPr>
      <w:r w:rsidRPr="007E0F94">
        <w:rPr>
          <w:i/>
          <w:sz w:val="24"/>
          <w:szCs w:val="24"/>
        </w:rPr>
        <w:t>(</w:t>
      </w:r>
      <w:r w:rsidR="004707B5" w:rsidRPr="007E0F94">
        <w:rPr>
          <w:i/>
          <w:sz w:val="24"/>
          <w:szCs w:val="24"/>
        </w:rPr>
        <w:t>P</w:t>
      </w:r>
      <w:r w:rsidRPr="007E0F94">
        <w:rPr>
          <w:i/>
          <w:sz w:val="24"/>
          <w:szCs w:val="24"/>
        </w:rPr>
        <w:t>lease demonstrate that key risk information is regularly reported to the central risk management function in order to allow a</w:t>
      </w:r>
      <w:r w:rsidR="008729F5" w:rsidRPr="007E0F94">
        <w:rPr>
          <w:i/>
          <w:sz w:val="24"/>
          <w:szCs w:val="24"/>
        </w:rPr>
        <w:t>ppropriate</w:t>
      </w:r>
      <w:r w:rsidRPr="007E0F94">
        <w:rPr>
          <w:i/>
          <w:sz w:val="24"/>
          <w:szCs w:val="24"/>
        </w:rPr>
        <w:t xml:space="preserve"> centrali</w:t>
      </w:r>
      <w:r w:rsidR="00005A83" w:rsidRPr="007E0F94">
        <w:rPr>
          <w:i/>
          <w:sz w:val="24"/>
          <w:szCs w:val="24"/>
        </w:rPr>
        <w:t>s</w:t>
      </w:r>
      <w:r w:rsidRPr="007E0F94">
        <w:rPr>
          <w:i/>
          <w:sz w:val="24"/>
          <w:szCs w:val="24"/>
        </w:rPr>
        <w:t xml:space="preserve">ed risk </w:t>
      </w:r>
      <w:r w:rsidR="008729F5" w:rsidRPr="007E0F94">
        <w:rPr>
          <w:i/>
          <w:sz w:val="24"/>
          <w:szCs w:val="24"/>
        </w:rPr>
        <w:t>evaluation</w:t>
      </w:r>
      <w:r w:rsidRPr="007E0F94">
        <w:rPr>
          <w:i/>
          <w:sz w:val="24"/>
          <w:szCs w:val="24"/>
        </w:rPr>
        <w:t xml:space="preserve">, measurement and control </w:t>
      </w:r>
      <w:r w:rsidR="008729F5" w:rsidRPr="007E0F94">
        <w:rPr>
          <w:i/>
          <w:sz w:val="24"/>
          <w:szCs w:val="24"/>
        </w:rPr>
        <w:t>procedures</w:t>
      </w:r>
      <w:r w:rsidR="00005A83" w:rsidRPr="007E0F94">
        <w:rPr>
          <w:i/>
          <w:sz w:val="24"/>
          <w:szCs w:val="24"/>
        </w:rPr>
        <w:t xml:space="preserve"> </w:t>
      </w:r>
      <w:r w:rsidRPr="007E0F94">
        <w:rPr>
          <w:i/>
          <w:sz w:val="24"/>
          <w:szCs w:val="24"/>
        </w:rPr>
        <w:t>across relevant entities within the group</w:t>
      </w:r>
      <w:r w:rsidR="00D93128" w:rsidRPr="007E0F94">
        <w:rPr>
          <w:i/>
          <w:sz w:val="24"/>
          <w:szCs w:val="24"/>
        </w:rPr>
        <w:t>.</w:t>
      </w:r>
      <w:r w:rsidRPr="007E0F94">
        <w:rPr>
          <w:i/>
          <w:sz w:val="24"/>
          <w:szCs w:val="24"/>
        </w:rPr>
        <w:t>)</w:t>
      </w:r>
    </w:p>
    <w:p w14:paraId="3CB7E209" w14:textId="77777777" w:rsidR="00833B48" w:rsidRPr="007E0F94" w:rsidRDefault="00833B48" w:rsidP="004B2681">
      <w:pPr>
        <w:jc w:val="both"/>
        <w:rPr>
          <w:i/>
          <w:sz w:val="24"/>
          <w:szCs w:val="24"/>
        </w:rPr>
      </w:pPr>
    </w:p>
    <w:p w14:paraId="15204677" w14:textId="77777777" w:rsidR="0075020A" w:rsidRPr="007E0F94" w:rsidRDefault="004B2681" w:rsidP="004B2681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7E0F94">
        <w:rPr>
          <w:b/>
          <w:sz w:val="24"/>
          <w:szCs w:val="24"/>
        </w:rPr>
        <w:t>Additional information on centralised risk management</w:t>
      </w:r>
    </w:p>
    <w:p w14:paraId="123BFAC2" w14:textId="77777777" w:rsidR="0075020A" w:rsidRPr="007E0F94" w:rsidRDefault="0075020A" w:rsidP="004B2681">
      <w:pPr>
        <w:jc w:val="both"/>
        <w:rPr>
          <w:b/>
          <w:sz w:val="24"/>
          <w:szCs w:val="24"/>
        </w:rPr>
      </w:pPr>
    </w:p>
    <w:p w14:paraId="4C64B061" w14:textId="20221FA2" w:rsidR="0075020A" w:rsidRPr="005E2AFD" w:rsidRDefault="004B2681" w:rsidP="004B2681">
      <w:pPr>
        <w:jc w:val="both"/>
        <w:rPr>
          <w:sz w:val="24"/>
          <w:szCs w:val="24"/>
        </w:rPr>
      </w:pPr>
      <w:r w:rsidRPr="007E0F94">
        <w:rPr>
          <w:sz w:val="24"/>
          <w:szCs w:val="24"/>
        </w:rPr>
        <w:t xml:space="preserve">If the information provided </w:t>
      </w:r>
      <w:r w:rsidR="004D3139" w:rsidRPr="007E0F94">
        <w:rPr>
          <w:sz w:val="24"/>
          <w:szCs w:val="24"/>
        </w:rPr>
        <w:t>pursuant to</w:t>
      </w:r>
      <w:r w:rsidRPr="007E0F94">
        <w:rPr>
          <w:sz w:val="24"/>
          <w:szCs w:val="24"/>
        </w:rPr>
        <w:t xml:space="preserve"> point A does not apply to the whole group and there are different procedures for certain entities within the group (e.g. NFCs), those procedures </w:t>
      </w:r>
      <w:r w:rsidR="00005A83" w:rsidRPr="007E0F94">
        <w:rPr>
          <w:sz w:val="24"/>
          <w:szCs w:val="24"/>
        </w:rPr>
        <w:t xml:space="preserve">are to </w:t>
      </w:r>
      <w:r w:rsidRPr="007E0F94">
        <w:rPr>
          <w:sz w:val="24"/>
          <w:szCs w:val="24"/>
        </w:rPr>
        <w:t xml:space="preserve">be defined separately. </w:t>
      </w:r>
      <w:r w:rsidR="004D3139" w:rsidRPr="007E0F94">
        <w:rPr>
          <w:sz w:val="24"/>
          <w:szCs w:val="24"/>
        </w:rPr>
        <w:t xml:space="preserve">The </w:t>
      </w:r>
      <w:r w:rsidRPr="007E0F94">
        <w:rPr>
          <w:sz w:val="24"/>
          <w:szCs w:val="24"/>
        </w:rPr>
        <w:t xml:space="preserve">information pursuant to point A (questions 1 to 5) </w:t>
      </w:r>
      <w:r w:rsidR="00005A83" w:rsidRPr="007E0F94">
        <w:rPr>
          <w:sz w:val="24"/>
          <w:szCs w:val="24"/>
        </w:rPr>
        <w:t xml:space="preserve">is to </w:t>
      </w:r>
      <w:r w:rsidR="004D3139" w:rsidRPr="007E0F94">
        <w:rPr>
          <w:sz w:val="24"/>
          <w:szCs w:val="24"/>
        </w:rPr>
        <w:t xml:space="preserve">be provided </w:t>
      </w:r>
      <w:r w:rsidRPr="007E0F94">
        <w:rPr>
          <w:sz w:val="24"/>
          <w:szCs w:val="24"/>
        </w:rPr>
        <w:t>for each pair of counterparties.</w:t>
      </w:r>
    </w:p>
    <w:sectPr w:rsidR="0075020A" w:rsidRPr="005E2AFD" w:rsidSect="00562E9E"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49DC" w14:textId="77777777" w:rsidR="00EB5583" w:rsidRDefault="00EB5583" w:rsidP="007777FA">
      <w:r>
        <w:separator/>
      </w:r>
    </w:p>
  </w:endnote>
  <w:endnote w:type="continuationSeparator" w:id="0">
    <w:p w14:paraId="34055605" w14:textId="77777777" w:rsidR="00EB5583" w:rsidRDefault="00EB5583" w:rsidP="0077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2BDC" w14:textId="77777777" w:rsidR="00EB5583" w:rsidRDefault="00EB5583" w:rsidP="007777FA">
      <w:r>
        <w:separator/>
      </w:r>
    </w:p>
  </w:footnote>
  <w:footnote w:type="continuationSeparator" w:id="0">
    <w:p w14:paraId="25264EBF" w14:textId="77777777" w:rsidR="00EB5583" w:rsidRDefault="00EB5583" w:rsidP="00777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3281"/>
    <w:multiLevelType w:val="hybridMultilevel"/>
    <w:tmpl w:val="68C603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D5026"/>
    <w:multiLevelType w:val="hybridMultilevel"/>
    <w:tmpl w:val="FC447A3E"/>
    <w:lvl w:ilvl="0" w:tplc="1A824158">
      <w:start w:val="1"/>
      <w:numFmt w:val="lowerLetter"/>
      <w:lvlText w:val="%1)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sk" w:eastAsia="sk" w:bidi="sk"/>
      </w:rPr>
    </w:lvl>
    <w:lvl w:ilvl="1" w:tplc="40CE6DE0">
      <w:numFmt w:val="bullet"/>
      <w:lvlText w:val="•"/>
      <w:lvlJc w:val="left"/>
      <w:pPr>
        <w:ind w:left="1038" w:hanging="238"/>
      </w:pPr>
      <w:rPr>
        <w:rFonts w:hint="default"/>
        <w:lang w:val="sk" w:eastAsia="sk" w:bidi="sk"/>
      </w:rPr>
    </w:lvl>
    <w:lvl w:ilvl="2" w:tplc="99001EAA">
      <w:numFmt w:val="bullet"/>
      <w:lvlText w:val="•"/>
      <w:lvlJc w:val="left"/>
      <w:pPr>
        <w:ind w:left="1957" w:hanging="238"/>
      </w:pPr>
      <w:rPr>
        <w:rFonts w:hint="default"/>
        <w:lang w:val="sk" w:eastAsia="sk" w:bidi="sk"/>
      </w:rPr>
    </w:lvl>
    <w:lvl w:ilvl="3" w:tplc="B5121FC4">
      <w:numFmt w:val="bullet"/>
      <w:lvlText w:val="•"/>
      <w:lvlJc w:val="left"/>
      <w:pPr>
        <w:ind w:left="2875" w:hanging="238"/>
      </w:pPr>
      <w:rPr>
        <w:rFonts w:hint="default"/>
        <w:lang w:val="sk" w:eastAsia="sk" w:bidi="sk"/>
      </w:rPr>
    </w:lvl>
    <w:lvl w:ilvl="4" w:tplc="06AAE90A">
      <w:numFmt w:val="bullet"/>
      <w:lvlText w:val="•"/>
      <w:lvlJc w:val="left"/>
      <w:pPr>
        <w:ind w:left="3794" w:hanging="238"/>
      </w:pPr>
      <w:rPr>
        <w:rFonts w:hint="default"/>
        <w:lang w:val="sk" w:eastAsia="sk" w:bidi="sk"/>
      </w:rPr>
    </w:lvl>
    <w:lvl w:ilvl="5" w:tplc="ABAC7CD8">
      <w:numFmt w:val="bullet"/>
      <w:lvlText w:val="•"/>
      <w:lvlJc w:val="left"/>
      <w:pPr>
        <w:ind w:left="4713" w:hanging="238"/>
      </w:pPr>
      <w:rPr>
        <w:rFonts w:hint="default"/>
        <w:lang w:val="sk" w:eastAsia="sk" w:bidi="sk"/>
      </w:rPr>
    </w:lvl>
    <w:lvl w:ilvl="6" w:tplc="D6866766">
      <w:numFmt w:val="bullet"/>
      <w:lvlText w:val="•"/>
      <w:lvlJc w:val="left"/>
      <w:pPr>
        <w:ind w:left="5631" w:hanging="238"/>
      </w:pPr>
      <w:rPr>
        <w:rFonts w:hint="default"/>
        <w:lang w:val="sk" w:eastAsia="sk" w:bidi="sk"/>
      </w:rPr>
    </w:lvl>
    <w:lvl w:ilvl="7" w:tplc="4148CD1E">
      <w:numFmt w:val="bullet"/>
      <w:lvlText w:val="•"/>
      <w:lvlJc w:val="left"/>
      <w:pPr>
        <w:ind w:left="6550" w:hanging="238"/>
      </w:pPr>
      <w:rPr>
        <w:rFonts w:hint="default"/>
        <w:lang w:val="sk" w:eastAsia="sk" w:bidi="sk"/>
      </w:rPr>
    </w:lvl>
    <w:lvl w:ilvl="8" w:tplc="8CDAEFAC">
      <w:numFmt w:val="bullet"/>
      <w:lvlText w:val="•"/>
      <w:lvlJc w:val="left"/>
      <w:pPr>
        <w:ind w:left="7469" w:hanging="238"/>
      </w:pPr>
      <w:rPr>
        <w:rFonts w:hint="default"/>
        <w:lang w:val="sk" w:eastAsia="sk" w:bidi="sk"/>
      </w:rPr>
    </w:lvl>
  </w:abstractNum>
  <w:abstractNum w:abstractNumId="2" w15:restartNumberingAfterBreak="0">
    <w:nsid w:val="35B8001C"/>
    <w:multiLevelType w:val="hybridMultilevel"/>
    <w:tmpl w:val="68C603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5F01DF"/>
    <w:multiLevelType w:val="hybridMultilevel"/>
    <w:tmpl w:val="0E32FA6A"/>
    <w:lvl w:ilvl="0" w:tplc="486CD300">
      <w:start w:val="1"/>
      <w:numFmt w:val="lowerLetter"/>
      <w:lvlText w:val="%1)"/>
      <w:lvlJc w:val="left"/>
      <w:pPr>
        <w:ind w:left="353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sk" w:eastAsia="sk" w:bidi="sk"/>
      </w:rPr>
    </w:lvl>
    <w:lvl w:ilvl="1" w:tplc="419A05E0">
      <w:numFmt w:val="bullet"/>
      <w:lvlText w:val="•"/>
      <w:lvlJc w:val="left"/>
      <w:pPr>
        <w:ind w:left="1254" w:hanging="238"/>
      </w:pPr>
      <w:rPr>
        <w:rFonts w:hint="default"/>
        <w:lang w:val="sk" w:eastAsia="sk" w:bidi="sk"/>
      </w:rPr>
    </w:lvl>
    <w:lvl w:ilvl="2" w:tplc="9F6C82C8">
      <w:numFmt w:val="bullet"/>
      <w:lvlText w:val="•"/>
      <w:lvlJc w:val="left"/>
      <w:pPr>
        <w:ind w:left="2149" w:hanging="238"/>
      </w:pPr>
      <w:rPr>
        <w:rFonts w:hint="default"/>
        <w:lang w:val="sk" w:eastAsia="sk" w:bidi="sk"/>
      </w:rPr>
    </w:lvl>
    <w:lvl w:ilvl="3" w:tplc="CBFAAEE2">
      <w:numFmt w:val="bullet"/>
      <w:lvlText w:val="•"/>
      <w:lvlJc w:val="left"/>
      <w:pPr>
        <w:ind w:left="3043" w:hanging="238"/>
      </w:pPr>
      <w:rPr>
        <w:rFonts w:hint="default"/>
        <w:lang w:val="sk" w:eastAsia="sk" w:bidi="sk"/>
      </w:rPr>
    </w:lvl>
    <w:lvl w:ilvl="4" w:tplc="BAA877B8">
      <w:numFmt w:val="bullet"/>
      <w:lvlText w:val="•"/>
      <w:lvlJc w:val="left"/>
      <w:pPr>
        <w:ind w:left="3938" w:hanging="238"/>
      </w:pPr>
      <w:rPr>
        <w:rFonts w:hint="default"/>
        <w:lang w:val="sk" w:eastAsia="sk" w:bidi="sk"/>
      </w:rPr>
    </w:lvl>
    <w:lvl w:ilvl="5" w:tplc="4CB8A54E">
      <w:numFmt w:val="bullet"/>
      <w:lvlText w:val="•"/>
      <w:lvlJc w:val="left"/>
      <w:pPr>
        <w:ind w:left="4833" w:hanging="238"/>
      </w:pPr>
      <w:rPr>
        <w:rFonts w:hint="default"/>
        <w:lang w:val="sk" w:eastAsia="sk" w:bidi="sk"/>
      </w:rPr>
    </w:lvl>
    <w:lvl w:ilvl="6" w:tplc="4BF0AEDA">
      <w:numFmt w:val="bullet"/>
      <w:lvlText w:val="•"/>
      <w:lvlJc w:val="left"/>
      <w:pPr>
        <w:ind w:left="5727" w:hanging="238"/>
      </w:pPr>
      <w:rPr>
        <w:rFonts w:hint="default"/>
        <w:lang w:val="sk" w:eastAsia="sk" w:bidi="sk"/>
      </w:rPr>
    </w:lvl>
    <w:lvl w:ilvl="7" w:tplc="567429A2">
      <w:numFmt w:val="bullet"/>
      <w:lvlText w:val="•"/>
      <w:lvlJc w:val="left"/>
      <w:pPr>
        <w:ind w:left="6622" w:hanging="238"/>
      </w:pPr>
      <w:rPr>
        <w:rFonts w:hint="default"/>
        <w:lang w:val="sk" w:eastAsia="sk" w:bidi="sk"/>
      </w:rPr>
    </w:lvl>
    <w:lvl w:ilvl="8" w:tplc="7842FBE0">
      <w:numFmt w:val="bullet"/>
      <w:lvlText w:val="•"/>
      <w:lvlJc w:val="left"/>
      <w:pPr>
        <w:ind w:left="7517" w:hanging="238"/>
      </w:pPr>
      <w:rPr>
        <w:rFonts w:hint="default"/>
        <w:lang w:val="sk" w:eastAsia="sk" w:bidi="sk"/>
      </w:rPr>
    </w:lvl>
  </w:abstractNum>
  <w:abstractNum w:abstractNumId="4" w15:restartNumberingAfterBreak="0">
    <w:nsid w:val="59973DED"/>
    <w:multiLevelType w:val="hybridMultilevel"/>
    <w:tmpl w:val="DFD222C4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B2F08"/>
    <w:multiLevelType w:val="hybridMultilevel"/>
    <w:tmpl w:val="E8046DD8"/>
    <w:lvl w:ilvl="0" w:tplc="79B6B6D2">
      <w:start w:val="1"/>
      <w:numFmt w:val="upperLetter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sk" w:eastAsia="sk" w:bidi="sk"/>
      </w:rPr>
    </w:lvl>
    <w:lvl w:ilvl="1" w:tplc="18DCEFA2">
      <w:start w:val="1"/>
      <w:numFmt w:val="decimal"/>
      <w:lvlText w:val="%2."/>
      <w:lvlJc w:val="left"/>
      <w:pPr>
        <w:ind w:left="346" w:hanging="23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sk" w:eastAsia="sk" w:bidi="sk"/>
      </w:rPr>
    </w:lvl>
    <w:lvl w:ilvl="2" w:tplc="CB08ADDC">
      <w:numFmt w:val="bullet"/>
      <w:lvlText w:val="•"/>
      <w:lvlJc w:val="left"/>
      <w:pPr>
        <w:ind w:left="1389" w:hanging="231"/>
      </w:pPr>
      <w:rPr>
        <w:rFonts w:hint="default"/>
        <w:lang w:val="sk" w:eastAsia="sk" w:bidi="sk"/>
      </w:rPr>
    </w:lvl>
    <w:lvl w:ilvl="3" w:tplc="6898E716">
      <w:numFmt w:val="bullet"/>
      <w:lvlText w:val="•"/>
      <w:lvlJc w:val="left"/>
      <w:pPr>
        <w:ind w:left="2379" w:hanging="231"/>
      </w:pPr>
      <w:rPr>
        <w:rFonts w:hint="default"/>
        <w:lang w:val="sk" w:eastAsia="sk" w:bidi="sk"/>
      </w:rPr>
    </w:lvl>
    <w:lvl w:ilvl="4" w:tplc="BB8C873C">
      <w:numFmt w:val="bullet"/>
      <w:lvlText w:val="•"/>
      <w:lvlJc w:val="left"/>
      <w:pPr>
        <w:ind w:left="3368" w:hanging="231"/>
      </w:pPr>
      <w:rPr>
        <w:rFonts w:hint="default"/>
        <w:lang w:val="sk" w:eastAsia="sk" w:bidi="sk"/>
      </w:rPr>
    </w:lvl>
    <w:lvl w:ilvl="5" w:tplc="761A67EE">
      <w:numFmt w:val="bullet"/>
      <w:lvlText w:val="•"/>
      <w:lvlJc w:val="left"/>
      <w:pPr>
        <w:ind w:left="4358" w:hanging="231"/>
      </w:pPr>
      <w:rPr>
        <w:rFonts w:hint="default"/>
        <w:lang w:val="sk" w:eastAsia="sk" w:bidi="sk"/>
      </w:rPr>
    </w:lvl>
    <w:lvl w:ilvl="6" w:tplc="8E70F642">
      <w:numFmt w:val="bullet"/>
      <w:lvlText w:val="•"/>
      <w:lvlJc w:val="left"/>
      <w:pPr>
        <w:ind w:left="5348" w:hanging="231"/>
      </w:pPr>
      <w:rPr>
        <w:rFonts w:hint="default"/>
        <w:lang w:val="sk" w:eastAsia="sk" w:bidi="sk"/>
      </w:rPr>
    </w:lvl>
    <w:lvl w:ilvl="7" w:tplc="D9E83A5E">
      <w:numFmt w:val="bullet"/>
      <w:lvlText w:val="•"/>
      <w:lvlJc w:val="left"/>
      <w:pPr>
        <w:ind w:left="6337" w:hanging="231"/>
      </w:pPr>
      <w:rPr>
        <w:rFonts w:hint="default"/>
        <w:lang w:val="sk" w:eastAsia="sk" w:bidi="sk"/>
      </w:rPr>
    </w:lvl>
    <w:lvl w:ilvl="8" w:tplc="7E588152">
      <w:numFmt w:val="bullet"/>
      <w:lvlText w:val="•"/>
      <w:lvlJc w:val="left"/>
      <w:pPr>
        <w:ind w:left="7327" w:hanging="231"/>
      </w:pPr>
      <w:rPr>
        <w:rFonts w:hint="default"/>
        <w:lang w:val="sk" w:eastAsia="sk" w:bidi="sk"/>
      </w:rPr>
    </w:lvl>
  </w:abstractNum>
  <w:abstractNum w:abstractNumId="6" w15:restartNumberingAfterBreak="0">
    <w:nsid w:val="77AF59A5"/>
    <w:multiLevelType w:val="hybridMultilevel"/>
    <w:tmpl w:val="8CB211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0A"/>
    <w:rsid w:val="00005A83"/>
    <w:rsid w:val="00074052"/>
    <w:rsid w:val="00115D98"/>
    <w:rsid w:val="001D3621"/>
    <w:rsid w:val="001F35B3"/>
    <w:rsid w:val="00207538"/>
    <w:rsid w:val="00247F4E"/>
    <w:rsid w:val="002A7978"/>
    <w:rsid w:val="004707B5"/>
    <w:rsid w:val="0048375D"/>
    <w:rsid w:val="004B2681"/>
    <w:rsid w:val="004D3139"/>
    <w:rsid w:val="00504DF9"/>
    <w:rsid w:val="00562E9E"/>
    <w:rsid w:val="00583C75"/>
    <w:rsid w:val="005E18C0"/>
    <w:rsid w:val="005E2AFD"/>
    <w:rsid w:val="006A0E57"/>
    <w:rsid w:val="006B7C9B"/>
    <w:rsid w:val="006D0DAB"/>
    <w:rsid w:val="0075020A"/>
    <w:rsid w:val="007777FA"/>
    <w:rsid w:val="007B3CCB"/>
    <w:rsid w:val="007E0F94"/>
    <w:rsid w:val="00833B48"/>
    <w:rsid w:val="008729F5"/>
    <w:rsid w:val="008D42D9"/>
    <w:rsid w:val="008F6035"/>
    <w:rsid w:val="0090140A"/>
    <w:rsid w:val="00950DE4"/>
    <w:rsid w:val="00A96D52"/>
    <w:rsid w:val="00AC6A32"/>
    <w:rsid w:val="00AE41B2"/>
    <w:rsid w:val="00AE616B"/>
    <w:rsid w:val="00BC526F"/>
    <w:rsid w:val="00BD27F1"/>
    <w:rsid w:val="00BD6731"/>
    <w:rsid w:val="00CB1E84"/>
    <w:rsid w:val="00CD6F4F"/>
    <w:rsid w:val="00D33A5A"/>
    <w:rsid w:val="00D93128"/>
    <w:rsid w:val="00E777BE"/>
    <w:rsid w:val="00E85F51"/>
    <w:rsid w:val="00EB5583"/>
    <w:rsid w:val="00EC4184"/>
    <w:rsid w:val="00EF6E08"/>
    <w:rsid w:val="00EF6EC4"/>
    <w:rsid w:val="00F9216C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D2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k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3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5D"/>
    <w:rPr>
      <w:rFonts w:ascii="Segoe UI" w:eastAsia="Times New Roman" w:hAnsi="Segoe UI" w:cs="Segoe UI"/>
      <w:sz w:val="18"/>
      <w:szCs w:val="18"/>
      <w:lang w:eastAsia="sk"/>
    </w:rPr>
  </w:style>
  <w:style w:type="paragraph" w:styleId="Header">
    <w:name w:val="header"/>
    <w:basedOn w:val="Normal"/>
    <w:link w:val="HeaderChar"/>
    <w:uiPriority w:val="99"/>
    <w:unhideWhenUsed/>
    <w:rsid w:val="007777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FA"/>
    <w:rPr>
      <w:rFonts w:ascii="Times New Roman" w:eastAsia="Times New Roman" w:hAnsi="Times New Roman" w:cs="Times New Roman"/>
      <w:lang w:eastAsia="sk"/>
    </w:rPr>
  </w:style>
  <w:style w:type="paragraph" w:styleId="Footer">
    <w:name w:val="footer"/>
    <w:basedOn w:val="Normal"/>
    <w:link w:val="FooterChar"/>
    <w:uiPriority w:val="99"/>
    <w:unhideWhenUsed/>
    <w:rsid w:val="007777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7FA"/>
    <w:rPr>
      <w:rFonts w:ascii="Times New Roman" w:eastAsia="Times New Roman" w:hAnsi="Times New Roman" w:cs="Times New Roman"/>
      <w:lang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2023-01-10T12:20:00Z</dcterms:created>
  <dcterms:modified xsi:type="dcterms:W3CDTF">2023-01-10T12:20:00Z</dcterms:modified>
</cp:coreProperties>
</file>