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F665" w14:textId="785C55AB" w:rsidR="00114CE5" w:rsidRPr="002164E7" w:rsidRDefault="007E668F">
      <w:pPr>
        <w:spacing w:after="0"/>
        <w:ind w:right="5"/>
        <w:jc w:val="center"/>
        <w:rPr>
          <w:rFonts w:asciiTheme="minorHAnsi" w:hAnsiTheme="minorHAnsi" w:cstheme="minorHAnsi"/>
          <w:lang w:val="en-US"/>
        </w:rPr>
      </w:pPr>
      <w:r w:rsidRPr="002164E7">
        <w:rPr>
          <w:rFonts w:asciiTheme="minorHAnsi" w:eastAsia="Verdana" w:hAnsiTheme="minorHAnsi" w:cstheme="minorHAnsi"/>
          <w:b/>
          <w:lang w:val="en-US"/>
        </w:rPr>
        <w:t xml:space="preserve">Freedom to provide services </w:t>
      </w:r>
      <w:r w:rsidR="00431452" w:rsidRPr="002164E7">
        <w:rPr>
          <w:rFonts w:asciiTheme="minorHAnsi" w:eastAsia="Verdana" w:hAnsiTheme="minorHAnsi" w:cstheme="minorHAnsi"/>
          <w:b/>
          <w:lang w:val="en-US"/>
        </w:rPr>
        <w:t>(</w:t>
      </w:r>
      <w:proofErr w:type="spellStart"/>
      <w:r w:rsidR="00431452" w:rsidRPr="002164E7">
        <w:rPr>
          <w:rFonts w:asciiTheme="minorHAnsi" w:eastAsia="Verdana" w:hAnsiTheme="minorHAnsi" w:cstheme="minorHAnsi"/>
          <w:b/>
          <w:lang w:val="en-US"/>
        </w:rPr>
        <w:t>FoS</w:t>
      </w:r>
      <w:proofErr w:type="spellEnd"/>
      <w:r w:rsidR="00431452" w:rsidRPr="002164E7">
        <w:rPr>
          <w:rFonts w:asciiTheme="minorHAnsi" w:eastAsia="Verdana" w:hAnsiTheme="minorHAnsi" w:cstheme="minorHAnsi"/>
          <w:b/>
          <w:lang w:val="en-US"/>
        </w:rPr>
        <w:t>)</w:t>
      </w:r>
    </w:p>
    <w:p w14:paraId="353B6193" w14:textId="77777777" w:rsidR="00114CE5" w:rsidRPr="002164E7" w:rsidRDefault="007E668F">
      <w:pPr>
        <w:spacing w:after="0"/>
        <w:ind w:left="95"/>
        <w:jc w:val="center"/>
        <w:rPr>
          <w:rFonts w:asciiTheme="minorHAnsi" w:hAnsiTheme="minorHAnsi" w:cstheme="minorHAnsi"/>
          <w:lang w:val="en-US"/>
        </w:rPr>
      </w:pPr>
      <w:r w:rsidRPr="002164E7">
        <w:rPr>
          <w:rFonts w:asciiTheme="minorHAnsi" w:eastAsia="Verdana" w:hAnsiTheme="minorHAnsi" w:cstheme="minorHAnsi"/>
          <w:b/>
          <w:lang w:val="en-US"/>
        </w:rPr>
        <w:t xml:space="preserve"> </w:t>
      </w:r>
    </w:p>
    <w:p w14:paraId="2E2AAF31" w14:textId="77777777" w:rsidR="002164E7" w:rsidRPr="002164E7" w:rsidRDefault="002164E7" w:rsidP="002164E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color w:val="auto"/>
          <w:lang w:val="en-US"/>
        </w:rPr>
      </w:pPr>
      <w:r w:rsidRPr="002164E7">
        <w:rPr>
          <w:rFonts w:asciiTheme="minorHAnsi" w:eastAsiaTheme="minorEastAsia" w:hAnsiTheme="minorHAnsi" w:cstheme="minorHAnsi"/>
          <w:color w:val="auto"/>
          <w:lang w:val="en-US"/>
        </w:rPr>
        <w:t>Decision of the Board of Supervisors on the collaboration of the insurance supervisory authorities of the Member States of the European Economic Area (EIOPA-BoS-21/234 and Annex EIOPA-BoS 21/235) (see references in brackets)</w:t>
      </w:r>
    </w:p>
    <w:p w14:paraId="12C67B3A" w14:textId="77777777" w:rsidR="00114CE5" w:rsidRPr="002164E7" w:rsidRDefault="007E668F">
      <w:pPr>
        <w:spacing w:after="0"/>
        <w:ind w:left="68"/>
        <w:jc w:val="center"/>
        <w:rPr>
          <w:rFonts w:asciiTheme="minorHAnsi" w:hAnsiTheme="minorHAnsi" w:cstheme="minorHAnsi"/>
          <w:lang w:val="en-US"/>
        </w:rPr>
      </w:pPr>
      <w:r w:rsidRPr="002164E7">
        <w:rPr>
          <w:rFonts w:asciiTheme="minorHAnsi" w:eastAsia="Verdana" w:hAnsiTheme="minorHAnsi" w:cstheme="minorHAnsi"/>
          <w:b/>
          <w:lang w:val="en-US"/>
        </w:rPr>
        <w:t xml:space="preserve"> </w:t>
      </w:r>
    </w:p>
    <w:tbl>
      <w:tblPr>
        <w:tblStyle w:val="TableGrid"/>
        <w:tblW w:w="9066" w:type="dxa"/>
        <w:tblInd w:w="5" w:type="dxa"/>
        <w:tblCellMar>
          <w:top w:w="67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706"/>
        <w:gridCol w:w="8360"/>
      </w:tblGrid>
      <w:tr w:rsidR="00114CE5" w:rsidRPr="002164E7" w14:paraId="1A1E9CFD" w14:textId="77777777" w:rsidTr="004260CB">
        <w:trPr>
          <w:trHeight w:val="73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527" w14:textId="77777777" w:rsidR="00114CE5" w:rsidRPr="002164E7" w:rsidRDefault="007E668F">
            <w:pPr>
              <w:ind w:left="5"/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1.</w:t>
            </w:r>
            <w:r w:rsidRPr="002164E7">
              <w:rPr>
                <w:rFonts w:asciiTheme="minorHAnsi" w:eastAsia="Arial" w:hAnsiTheme="minorHAnsi" w:cstheme="minorHAnsi"/>
                <w:b/>
                <w:lang w:val="en-US"/>
              </w:rPr>
              <w:t xml:space="preserve"> </w:t>
            </w: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761A" w14:textId="0ED76E7E" w:rsidR="00114CE5" w:rsidRPr="002164E7" w:rsidRDefault="00431452">
            <w:pPr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The name and address of the head office of the insurance undertaking and an email address to communicate the information received from the Host NSA to the insurance undertaking</w:t>
            </w:r>
            <w:r w:rsid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  <w:r w:rsidR="002164E7" w:rsidRPr="00346C6F">
              <w:rPr>
                <w:rFonts w:asciiTheme="minorHAnsi" w:eastAsia="Verdana" w:hAnsiTheme="minorHAnsi" w:cstheme="minorHAnsi"/>
                <w:b/>
              </w:rPr>
              <w:t>(3.2.1.1.a)</w:t>
            </w:r>
          </w:p>
        </w:tc>
      </w:tr>
      <w:tr w:rsidR="00114CE5" w:rsidRPr="002164E7" w14:paraId="563A21F6" w14:textId="77777777" w:rsidTr="00514820">
        <w:trPr>
          <w:trHeight w:val="13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4BB6" w14:textId="77777777" w:rsidR="00114CE5" w:rsidRPr="002164E7" w:rsidRDefault="007E668F">
            <w:pPr>
              <w:ind w:left="5"/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B8D2" w14:textId="77777777" w:rsidR="00114CE5" w:rsidRPr="002164E7" w:rsidRDefault="007E668F">
            <w:pPr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</w:tr>
      <w:tr w:rsidR="002164E7" w:rsidRPr="002164E7" w14:paraId="73CF194E" w14:textId="77777777" w:rsidTr="00514820">
        <w:trPr>
          <w:trHeight w:val="13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E9F3" w14:textId="77777777" w:rsidR="002164E7" w:rsidRDefault="002164E7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  <w:r>
              <w:rPr>
                <w:rFonts w:asciiTheme="minorHAnsi" w:eastAsia="Verdana" w:hAnsiTheme="minorHAnsi" w:cstheme="minorHAnsi"/>
                <w:b/>
                <w:lang w:val="en-US"/>
              </w:rPr>
              <w:t>2.</w:t>
            </w:r>
          </w:p>
          <w:p w14:paraId="36B7210F" w14:textId="14C80DA6" w:rsidR="002164E7" w:rsidRPr="002164E7" w:rsidRDefault="002164E7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0B6D" w14:textId="695D9599" w:rsidR="002164E7" w:rsidRPr="002164E7" w:rsidRDefault="002164E7">
            <w:pPr>
              <w:rPr>
                <w:rFonts w:asciiTheme="minorHAnsi" w:eastAsia="Verdana" w:hAnsiTheme="minorHAnsi" w:cstheme="minorHAnsi"/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</w:rPr>
              <w:t>W</w:t>
            </w:r>
            <w:r w:rsidRPr="002164E7">
              <w:rPr>
                <w:b/>
                <w:bCs/>
              </w:rPr>
              <w:t>here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applicable</w:t>
            </w:r>
            <w:proofErr w:type="spellEnd"/>
            <w:r w:rsidRPr="002164E7">
              <w:rPr>
                <w:b/>
                <w:bCs/>
              </w:rPr>
              <w:t xml:space="preserve">, </w:t>
            </w:r>
            <w:proofErr w:type="spellStart"/>
            <w:r w:rsidRPr="002164E7">
              <w:rPr>
                <w:b/>
                <w:bCs/>
              </w:rPr>
              <w:t>the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name</w:t>
            </w:r>
            <w:proofErr w:type="spellEnd"/>
            <w:r w:rsidRPr="002164E7">
              <w:rPr>
                <w:b/>
                <w:bCs/>
              </w:rPr>
              <w:t xml:space="preserve"> and </w:t>
            </w:r>
            <w:proofErr w:type="spellStart"/>
            <w:r w:rsidRPr="002164E7">
              <w:rPr>
                <w:b/>
                <w:bCs/>
              </w:rPr>
              <w:t>address</w:t>
            </w:r>
            <w:proofErr w:type="spellEnd"/>
            <w:r w:rsidRPr="002164E7">
              <w:rPr>
                <w:b/>
                <w:bCs/>
              </w:rPr>
              <w:t xml:space="preserve"> of </w:t>
            </w:r>
            <w:proofErr w:type="spellStart"/>
            <w:r w:rsidRPr="002164E7">
              <w:rPr>
                <w:b/>
                <w:bCs/>
              </w:rPr>
              <w:t>the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establishments</w:t>
            </w:r>
            <w:proofErr w:type="spellEnd"/>
            <w:r w:rsidRPr="002164E7">
              <w:rPr>
                <w:b/>
                <w:bCs/>
              </w:rPr>
              <w:t xml:space="preserve"> (</w:t>
            </w:r>
            <w:proofErr w:type="spellStart"/>
            <w:r w:rsidRPr="002164E7">
              <w:rPr>
                <w:b/>
                <w:bCs/>
              </w:rPr>
              <w:t>other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than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the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head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office</w:t>
            </w:r>
            <w:proofErr w:type="spellEnd"/>
            <w:r w:rsidRPr="002164E7">
              <w:rPr>
                <w:b/>
                <w:bCs/>
              </w:rPr>
              <w:t xml:space="preserve"> of </w:t>
            </w:r>
            <w:proofErr w:type="spellStart"/>
            <w:r w:rsidRPr="002164E7">
              <w:rPr>
                <w:b/>
                <w:bCs/>
              </w:rPr>
              <w:t>the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insurance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undertaking</w:t>
            </w:r>
            <w:proofErr w:type="spellEnd"/>
            <w:r w:rsidRPr="002164E7">
              <w:rPr>
                <w:b/>
                <w:bCs/>
              </w:rPr>
              <w:t xml:space="preserve">), </w:t>
            </w:r>
            <w:proofErr w:type="spellStart"/>
            <w:r w:rsidRPr="002164E7">
              <w:rPr>
                <w:b/>
                <w:bCs/>
              </w:rPr>
              <w:t>situated</w:t>
            </w:r>
            <w:proofErr w:type="spellEnd"/>
            <w:r w:rsidRPr="002164E7">
              <w:rPr>
                <w:b/>
                <w:bCs/>
              </w:rPr>
              <w:t xml:space="preserve"> in </w:t>
            </w:r>
            <w:proofErr w:type="spellStart"/>
            <w:r w:rsidRPr="002164E7">
              <w:rPr>
                <w:b/>
                <w:bCs/>
              </w:rPr>
              <w:t>the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Member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States</w:t>
            </w:r>
            <w:proofErr w:type="spellEnd"/>
            <w:r w:rsidRPr="002164E7">
              <w:rPr>
                <w:b/>
                <w:bCs/>
              </w:rPr>
              <w:t xml:space="preserve">, </w:t>
            </w:r>
            <w:proofErr w:type="spellStart"/>
            <w:r w:rsidRPr="002164E7">
              <w:rPr>
                <w:b/>
                <w:bCs/>
              </w:rPr>
              <w:t>from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which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it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plans</w:t>
            </w:r>
            <w:proofErr w:type="spellEnd"/>
            <w:r w:rsidRPr="002164E7">
              <w:rPr>
                <w:b/>
                <w:bCs/>
              </w:rPr>
              <w:t xml:space="preserve"> to </w:t>
            </w:r>
            <w:proofErr w:type="spellStart"/>
            <w:r w:rsidRPr="002164E7">
              <w:rPr>
                <w:b/>
                <w:bCs/>
              </w:rPr>
              <w:t>provide</w:t>
            </w:r>
            <w:proofErr w:type="spellEnd"/>
            <w:r w:rsidRPr="002164E7">
              <w:rPr>
                <w:b/>
                <w:bCs/>
              </w:rPr>
              <w:t xml:space="preserve"> </w:t>
            </w:r>
            <w:proofErr w:type="spellStart"/>
            <w:r w:rsidRPr="002164E7">
              <w:rPr>
                <w:b/>
                <w:bCs/>
              </w:rPr>
              <w:t>services</w:t>
            </w:r>
            <w:proofErr w:type="spellEnd"/>
            <w:r>
              <w:rPr>
                <w:b/>
                <w:bCs/>
              </w:rPr>
              <w:t xml:space="preserve"> (</w:t>
            </w:r>
            <w:r w:rsidRPr="00346C6F">
              <w:rPr>
                <w:rFonts w:asciiTheme="minorHAnsi" w:eastAsia="Verdana" w:hAnsiTheme="minorHAnsi" w:cstheme="minorHAnsi"/>
                <w:b/>
              </w:rPr>
              <w:t>3.2.1.1.</w:t>
            </w:r>
            <w:r>
              <w:rPr>
                <w:rFonts w:asciiTheme="minorHAnsi" w:eastAsia="Verdana" w:hAnsiTheme="minorHAnsi" w:cstheme="minorHAnsi"/>
                <w:b/>
              </w:rPr>
              <w:t>b</w:t>
            </w:r>
            <w:r w:rsidRPr="00346C6F">
              <w:rPr>
                <w:rFonts w:asciiTheme="minorHAnsi" w:eastAsia="Verdana" w:hAnsiTheme="minorHAnsi" w:cstheme="minorHAnsi"/>
                <w:b/>
              </w:rPr>
              <w:t>)</w:t>
            </w:r>
          </w:p>
        </w:tc>
      </w:tr>
      <w:tr w:rsidR="002164E7" w:rsidRPr="002164E7" w14:paraId="57CED8B8" w14:textId="77777777" w:rsidTr="00514820">
        <w:trPr>
          <w:trHeight w:val="13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BA9B" w14:textId="77777777" w:rsidR="002164E7" w:rsidRPr="002164E7" w:rsidRDefault="002164E7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A1F3" w14:textId="77777777" w:rsidR="002164E7" w:rsidRPr="002164E7" w:rsidRDefault="002164E7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</w:tr>
      <w:tr w:rsidR="00114CE5" w:rsidRPr="002164E7" w14:paraId="0AFC7901" w14:textId="77777777">
        <w:trPr>
          <w:trHeight w:val="7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6EF8" w14:textId="6059A1BF" w:rsidR="00114CE5" w:rsidRPr="002164E7" w:rsidRDefault="002164E7">
            <w:pPr>
              <w:ind w:left="5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eastAsia="Verdana" w:hAnsiTheme="minorHAnsi" w:cstheme="minorHAnsi"/>
                <w:b/>
                <w:lang w:val="en-US"/>
              </w:rPr>
              <w:t>3</w:t>
            </w:r>
            <w:r w:rsidR="007E668F" w:rsidRPr="002164E7">
              <w:rPr>
                <w:rFonts w:asciiTheme="minorHAnsi" w:eastAsia="Verdana" w:hAnsiTheme="minorHAnsi" w:cstheme="minorHAnsi"/>
                <w:b/>
                <w:lang w:val="en-US"/>
              </w:rPr>
              <w:t>.</w:t>
            </w:r>
            <w:r w:rsidR="007E668F" w:rsidRPr="002164E7">
              <w:rPr>
                <w:rFonts w:asciiTheme="minorHAnsi" w:eastAsia="Arial" w:hAnsiTheme="minorHAnsi" w:cstheme="minorHAnsi"/>
                <w:b/>
                <w:lang w:val="en-US"/>
              </w:rPr>
              <w:t xml:space="preserve"> </w:t>
            </w:r>
            <w:r w:rsidR="007E668F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FFB4" w14:textId="006442B2" w:rsidR="00114CE5" w:rsidRPr="002164E7" w:rsidRDefault="004260CB">
            <w:pPr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T</w:t>
            </w:r>
            <w:r w:rsidR="007E668F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he classes of insurance according to the Annexes I and II to the Solvency II Directive which the insurance undertaking has been </w:t>
            </w:r>
            <w:proofErr w:type="spellStart"/>
            <w:r w:rsidR="007E668F" w:rsidRPr="002164E7">
              <w:rPr>
                <w:rFonts w:asciiTheme="minorHAnsi" w:eastAsia="Verdana" w:hAnsiTheme="minorHAnsi" w:cstheme="minorHAnsi"/>
                <w:b/>
                <w:lang w:val="en-US"/>
              </w:rPr>
              <w:t>authorised</w:t>
            </w:r>
            <w:proofErr w:type="spellEnd"/>
            <w:r w:rsidR="007E668F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to offer </w:t>
            </w:r>
            <w:r w:rsidR="002164E7">
              <w:rPr>
                <w:rFonts w:asciiTheme="minorHAnsi" w:hAnsiTheme="minorHAnsi" w:cstheme="minorHAnsi"/>
                <w:b/>
                <w:bCs/>
              </w:rPr>
              <w:t>(3.2.1.1.c)</w:t>
            </w:r>
          </w:p>
        </w:tc>
      </w:tr>
      <w:tr w:rsidR="00114CE5" w:rsidRPr="002164E7" w14:paraId="6FB33F69" w14:textId="77777777" w:rsidTr="004260CB">
        <w:trPr>
          <w:trHeight w:val="119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E253" w14:textId="77777777" w:rsidR="00114CE5" w:rsidRPr="002164E7" w:rsidRDefault="007E668F">
            <w:pPr>
              <w:ind w:left="5"/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FD60" w14:textId="77777777" w:rsidR="00114CE5" w:rsidRPr="002164E7" w:rsidRDefault="007E668F">
            <w:pPr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Arial" w:hAnsiTheme="minorHAnsi" w:cstheme="minorHAnsi"/>
                <w:b/>
                <w:lang w:val="en-US"/>
              </w:rPr>
              <w:t xml:space="preserve"> </w:t>
            </w:r>
          </w:p>
        </w:tc>
      </w:tr>
      <w:tr w:rsidR="00114CE5" w:rsidRPr="002164E7" w14:paraId="0F3B4599" w14:textId="77777777" w:rsidTr="00514820">
        <w:trPr>
          <w:trHeight w:val="76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A2CB" w14:textId="12F419C3" w:rsidR="00114CE5" w:rsidRPr="002164E7" w:rsidRDefault="002164E7">
            <w:pPr>
              <w:ind w:left="5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eastAsia="Verdana" w:hAnsiTheme="minorHAnsi" w:cstheme="minorHAnsi"/>
                <w:b/>
                <w:lang w:val="en-US"/>
              </w:rPr>
              <w:t>4</w:t>
            </w:r>
            <w:r w:rsidR="007E668F" w:rsidRPr="002164E7">
              <w:rPr>
                <w:rFonts w:asciiTheme="minorHAnsi" w:eastAsia="Verdana" w:hAnsiTheme="minorHAnsi" w:cstheme="minorHAnsi"/>
                <w:b/>
                <w:lang w:val="en-US"/>
              </w:rPr>
              <w:t>.</w:t>
            </w:r>
            <w:r w:rsidR="007E668F" w:rsidRPr="002164E7">
              <w:rPr>
                <w:rFonts w:asciiTheme="minorHAnsi" w:eastAsia="Arial" w:hAnsiTheme="minorHAnsi" w:cstheme="minorHAnsi"/>
                <w:b/>
                <w:lang w:val="en-US"/>
              </w:rPr>
              <w:t xml:space="preserve"> </w:t>
            </w:r>
            <w:r w:rsidR="007E668F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2521" w14:textId="24E9DE2A" w:rsidR="00114CE5" w:rsidRPr="002164E7" w:rsidRDefault="004260CB">
            <w:pPr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T</w:t>
            </w:r>
            <w:r w:rsidR="007E668F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he nature of the risks or commitments which the insurance undertaking proposes to cover in the Host Member State </w:t>
            </w:r>
            <w:r w:rsidR="002164E7">
              <w:rPr>
                <w:rFonts w:asciiTheme="minorHAnsi" w:eastAsia="Verdana" w:hAnsiTheme="minorHAnsi" w:cstheme="minorHAnsi"/>
                <w:b/>
              </w:rPr>
              <w:t>(3.2.1.1.d)</w:t>
            </w:r>
          </w:p>
        </w:tc>
      </w:tr>
      <w:tr w:rsidR="00114CE5" w:rsidRPr="002164E7" w14:paraId="33CFF5DF" w14:textId="77777777" w:rsidTr="004260CB">
        <w:trPr>
          <w:trHeight w:val="14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B38E" w14:textId="77777777" w:rsidR="00114CE5" w:rsidRPr="002164E7" w:rsidRDefault="007E668F">
            <w:pPr>
              <w:ind w:left="5"/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3700" w14:textId="40EC1E0E" w:rsidR="00114CE5" w:rsidRPr="002164E7" w:rsidRDefault="00114CE5">
            <w:pPr>
              <w:rPr>
                <w:rFonts w:asciiTheme="minorHAnsi" w:hAnsiTheme="minorHAnsi" w:cstheme="minorHAnsi"/>
                <w:lang w:val="en-US"/>
              </w:rPr>
            </w:pPr>
          </w:p>
          <w:p w14:paraId="562DBD9C" w14:textId="77777777" w:rsidR="00114CE5" w:rsidRPr="002164E7" w:rsidRDefault="007E668F">
            <w:pPr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</w:tr>
      <w:tr w:rsidR="00114CE5" w:rsidRPr="002164E7" w14:paraId="13FCC6D7" w14:textId="77777777" w:rsidTr="004260CB">
        <w:trPr>
          <w:trHeight w:val="6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2A94" w14:textId="728C45AE" w:rsidR="00114CE5" w:rsidRPr="002164E7" w:rsidRDefault="002164E7">
            <w:pPr>
              <w:ind w:left="5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eastAsia="Verdana" w:hAnsiTheme="minorHAnsi" w:cstheme="minorHAnsi"/>
                <w:b/>
                <w:lang w:val="en-US"/>
              </w:rPr>
              <w:t>5</w:t>
            </w:r>
            <w:r w:rsidR="007E668F" w:rsidRPr="002164E7">
              <w:rPr>
                <w:rFonts w:asciiTheme="minorHAnsi" w:eastAsia="Verdana" w:hAnsiTheme="minorHAnsi" w:cstheme="minorHAnsi"/>
                <w:b/>
                <w:lang w:val="en-US"/>
              </w:rPr>
              <w:t>.</w:t>
            </w:r>
            <w:r w:rsidR="007E668F" w:rsidRPr="002164E7">
              <w:rPr>
                <w:rFonts w:asciiTheme="minorHAnsi" w:eastAsia="Arial" w:hAnsiTheme="minorHAnsi" w:cstheme="minorHAnsi"/>
                <w:b/>
                <w:lang w:val="en-US"/>
              </w:rPr>
              <w:t xml:space="preserve"> </w:t>
            </w:r>
            <w:r w:rsidR="007E668F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3CF1" w14:textId="3BC7FC04" w:rsidR="00114CE5" w:rsidRPr="002164E7" w:rsidRDefault="004260CB">
            <w:pPr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I</w:t>
            </w:r>
            <w:r w:rsidR="007E668F" w:rsidRPr="002164E7">
              <w:rPr>
                <w:rFonts w:asciiTheme="minorHAnsi" w:eastAsia="Verdana" w:hAnsiTheme="minorHAnsi" w:cstheme="minorHAnsi"/>
                <w:b/>
                <w:lang w:val="en-US"/>
              </w:rPr>
              <w:t>f the insurance undertaking intends to cover risks in class 10 in Part A of Annex I to the Solvency II Directive not including carrier’s liability</w:t>
            </w:r>
            <w:r w:rsid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  <w:r w:rsidR="002164E7">
              <w:rPr>
                <w:rFonts w:asciiTheme="minorHAnsi" w:hAnsiTheme="minorHAnsi" w:cstheme="minorHAnsi"/>
                <w:b/>
                <w:bCs/>
              </w:rPr>
              <w:t>(3.2.1.1.e)</w:t>
            </w:r>
            <w:r w:rsidR="002164E7" w:rsidRPr="00346C6F">
              <w:rPr>
                <w:rFonts w:asciiTheme="minorHAnsi" w:hAnsiTheme="minorHAnsi" w:cstheme="minorHAnsi"/>
                <w:b/>
                <w:bCs/>
              </w:rPr>
              <w:t xml:space="preserve">:  </w:t>
            </w:r>
          </w:p>
        </w:tc>
      </w:tr>
      <w:tr w:rsidR="004260CB" w:rsidRPr="002164E7" w14:paraId="6FE6070F" w14:textId="77777777" w:rsidTr="004260CB">
        <w:trPr>
          <w:trHeight w:val="61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6F97" w14:textId="77777777" w:rsidR="004260CB" w:rsidRPr="002164E7" w:rsidRDefault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D735" w14:textId="398D8D7B" w:rsidR="004260CB" w:rsidRPr="002164E7" w:rsidRDefault="002164E7" w:rsidP="002164E7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eastAsia="Verdana" w:hAnsiTheme="minorHAnsi" w:cstheme="minorHAnsi"/>
                <w:b/>
                <w:lang w:val="en-US"/>
              </w:rPr>
              <w:t>i</w:t>
            </w:r>
            <w:proofErr w:type="spellEnd"/>
            <w:r>
              <w:rPr>
                <w:rFonts w:asciiTheme="minorHAnsi" w:eastAsia="Verdana" w:hAnsiTheme="minorHAnsi" w:cstheme="minorHAnsi"/>
                <w:b/>
                <w:lang w:val="en-US"/>
              </w:rPr>
              <w:t xml:space="preserve">. </w:t>
            </w:r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>The name and address of the claims representative as referred to in Article 18(1)(h)</w:t>
            </w:r>
          </w:p>
        </w:tc>
      </w:tr>
      <w:tr w:rsidR="00114CE5" w:rsidRPr="002164E7" w14:paraId="30C92313" w14:textId="77777777" w:rsidTr="00514820">
        <w:trPr>
          <w:trHeight w:val="168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DF0D" w14:textId="77777777" w:rsidR="00114CE5" w:rsidRPr="002164E7" w:rsidRDefault="007E668F">
            <w:pPr>
              <w:ind w:left="5"/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lastRenderedPageBreak/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D15C" w14:textId="77777777" w:rsidR="00114CE5" w:rsidRPr="002164E7" w:rsidRDefault="007E668F">
            <w:pPr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  <w:p w14:paraId="05E595E2" w14:textId="77777777" w:rsidR="00114CE5" w:rsidRPr="002164E7" w:rsidRDefault="007E668F">
            <w:pPr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  <w:p w14:paraId="32324E48" w14:textId="30C5F33B" w:rsidR="00114CE5" w:rsidRPr="002164E7" w:rsidRDefault="00114CE5">
            <w:pPr>
              <w:rPr>
                <w:rFonts w:asciiTheme="minorHAnsi" w:hAnsiTheme="minorHAnsi" w:cstheme="minorHAnsi"/>
                <w:lang w:val="en-US"/>
              </w:rPr>
            </w:pPr>
          </w:p>
          <w:p w14:paraId="4EF1E41E" w14:textId="77777777" w:rsidR="00114CE5" w:rsidRPr="002164E7" w:rsidRDefault="007E668F">
            <w:pPr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</w:tr>
      <w:tr w:rsidR="004260CB" w:rsidRPr="002164E7" w14:paraId="31D06D23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35C2" w14:textId="77777777" w:rsidR="004260CB" w:rsidRPr="002164E7" w:rsidRDefault="004260CB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B54" w14:textId="4AD07FE9" w:rsidR="004260CB" w:rsidRPr="002164E7" w:rsidRDefault="002164E7" w:rsidP="002164E7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  <w:r>
              <w:rPr>
                <w:rFonts w:asciiTheme="minorHAnsi" w:eastAsia="Verdana" w:hAnsiTheme="minorHAnsi" w:cstheme="minorHAnsi"/>
                <w:b/>
                <w:lang w:val="en-US"/>
              </w:rPr>
              <w:t xml:space="preserve">ii. </w:t>
            </w:r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A declaration that it has become a member of the national bureau and national guarantee fund of the Host Member State  </w:t>
            </w:r>
          </w:p>
        </w:tc>
      </w:tr>
      <w:tr w:rsidR="004260CB" w:rsidRPr="002164E7" w14:paraId="66252A1C" w14:textId="77777777" w:rsidTr="00514820">
        <w:trPr>
          <w:trHeight w:val="11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EC4A" w14:textId="77777777" w:rsidR="004260CB" w:rsidRPr="002164E7" w:rsidRDefault="004260CB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67DD" w14:textId="77777777" w:rsidR="004260CB" w:rsidRPr="002164E7" w:rsidRDefault="004260CB" w:rsidP="004260CB">
            <w:pPr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  <w:p w14:paraId="2396AADA" w14:textId="75164E24" w:rsidR="004260CB" w:rsidRPr="002164E7" w:rsidRDefault="004260CB" w:rsidP="004260CB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</w:tr>
      <w:tr w:rsidR="004260CB" w:rsidRPr="002164E7" w14:paraId="78A7161F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3245" w14:textId="04912F47" w:rsidR="004260CB" w:rsidRPr="002164E7" w:rsidRDefault="002164E7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  <w:r>
              <w:rPr>
                <w:rFonts w:asciiTheme="minorHAnsi" w:eastAsia="Verdana" w:hAnsiTheme="minorHAnsi" w:cstheme="minorHAnsi"/>
                <w:b/>
                <w:lang w:val="en-US"/>
              </w:rPr>
              <w:t>6</w:t>
            </w:r>
            <w:r w:rsidR="00514820" w:rsidRPr="002164E7">
              <w:rPr>
                <w:rFonts w:asciiTheme="minorHAnsi" w:eastAsia="Verdana" w:hAnsiTheme="minorHAnsi" w:cstheme="minorHAnsi"/>
                <w:b/>
                <w:lang w:val="en-US"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4028" w14:textId="569A0B73" w:rsidR="004260CB" w:rsidRPr="002164E7" w:rsidRDefault="00514820" w:rsidP="004260CB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I</w:t>
            </w:r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f the insurance undertaking intends to cover risks relating to legal expenses insurance, the option chosen from those described in Article 200 of the Solvency II Directive </w:t>
            </w:r>
            <w:r w:rsidR="002164E7">
              <w:rPr>
                <w:rFonts w:asciiTheme="minorHAnsi" w:hAnsiTheme="minorHAnsi" w:cstheme="minorHAnsi"/>
                <w:b/>
                <w:bCs/>
              </w:rPr>
              <w:t>(3.2.1.1.f)</w:t>
            </w:r>
          </w:p>
        </w:tc>
      </w:tr>
      <w:tr w:rsidR="004260CB" w:rsidRPr="002164E7" w14:paraId="28DE14E4" w14:textId="77777777" w:rsidTr="00514820">
        <w:trPr>
          <w:trHeight w:val="13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3030" w14:textId="77777777" w:rsidR="004260CB" w:rsidRPr="002164E7" w:rsidRDefault="004260CB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71C2" w14:textId="764A3301" w:rsidR="004260CB" w:rsidRPr="002164E7" w:rsidRDefault="004260CB" w:rsidP="004260CB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</w:tr>
      <w:tr w:rsidR="004260CB" w:rsidRPr="002164E7" w14:paraId="50956907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75FA" w14:textId="18748307" w:rsidR="004260CB" w:rsidRPr="002164E7" w:rsidRDefault="002164E7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  <w:r>
              <w:rPr>
                <w:rFonts w:asciiTheme="minorHAnsi" w:eastAsia="Verdana" w:hAnsiTheme="minorHAnsi" w:cstheme="minorHAnsi"/>
                <w:b/>
                <w:lang w:val="en-US"/>
              </w:rPr>
              <w:t>7</w:t>
            </w:r>
            <w:r w:rsidR="00514820" w:rsidRPr="002164E7">
              <w:rPr>
                <w:rFonts w:asciiTheme="minorHAnsi" w:eastAsia="Verdana" w:hAnsiTheme="minorHAnsi" w:cstheme="minorHAnsi"/>
                <w:b/>
                <w:lang w:val="en-US"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B1D1" w14:textId="5D77B289" w:rsidR="004260CB" w:rsidRPr="002164E7" w:rsidRDefault="00514820" w:rsidP="004260CB">
            <w:pPr>
              <w:spacing w:after="25"/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T</w:t>
            </w:r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he LEI of the undertaking intending to pursue business under </w:t>
            </w:r>
            <w:proofErr w:type="spellStart"/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>FoS</w:t>
            </w:r>
            <w:proofErr w:type="spellEnd"/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(or if not available, the identification code used in the local market allocated by the Supervisory </w:t>
            </w:r>
            <w:proofErr w:type="gramStart"/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Authority)  </w:t>
            </w:r>
            <w:r w:rsidR="002164E7">
              <w:rPr>
                <w:rFonts w:asciiTheme="minorHAnsi" w:hAnsiTheme="minorHAnsi" w:cstheme="minorHAnsi"/>
                <w:b/>
                <w:bCs/>
              </w:rPr>
              <w:t>(</w:t>
            </w:r>
            <w:proofErr w:type="gramEnd"/>
            <w:r w:rsidR="002164E7">
              <w:rPr>
                <w:rFonts w:asciiTheme="minorHAnsi" w:hAnsiTheme="minorHAnsi" w:cstheme="minorHAnsi"/>
                <w:b/>
                <w:bCs/>
              </w:rPr>
              <w:t>3.2.1.2.a)</w:t>
            </w:r>
          </w:p>
        </w:tc>
      </w:tr>
      <w:tr w:rsidR="004260CB" w:rsidRPr="002164E7" w14:paraId="4FE646E1" w14:textId="77777777" w:rsidTr="00514820">
        <w:trPr>
          <w:trHeight w:val="116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175F" w14:textId="77777777" w:rsidR="004260CB" w:rsidRPr="002164E7" w:rsidRDefault="004260CB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17C7" w14:textId="77777777" w:rsidR="004260CB" w:rsidRPr="002164E7" w:rsidRDefault="004260CB" w:rsidP="004260CB">
            <w:pPr>
              <w:spacing w:after="25"/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  <w:p w14:paraId="5B5216C3" w14:textId="798ACD3D" w:rsidR="004260CB" w:rsidRPr="002164E7" w:rsidRDefault="004260CB" w:rsidP="004260CB">
            <w:pPr>
              <w:rPr>
                <w:rFonts w:asciiTheme="minorHAnsi" w:hAnsiTheme="minorHAnsi" w:cstheme="minorHAnsi"/>
                <w:lang w:val="en-US"/>
              </w:rPr>
            </w:pPr>
          </w:p>
          <w:p w14:paraId="31C78FD9" w14:textId="77400AFB" w:rsidR="004260CB" w:rsidRPr="002164E7" w:rsidRDefault="004260CB" w:rsidP="004260CB">
            <w:pPr>
              <w:spacing w:after="25"/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</w:tr>
      <w:tr w:rsidR="004260CB" w:rsidRPr="002164E7" w14:paraId="280D7477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6122" w14:textId="37BDCC5E" w:rsidR="004260CB" w:rsidRPr="002164E7" w:rsidRDefault="00EA4175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8</w:t>
            </w:r>
            <w:r w:rsidR="00514820" w:rsidRPr="002164E7">
              <w:rPr>
                <w:rFonts w:asciiTheme="minorHAnsi" w:eastAsia="Verdana" w:hAnsiTheme="minorHAnsi" w:cstheme="minorHAnsi"/>
                <w:b/>
                <w:lang w:val="en-US"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156B" w14:textId="204ED606" w:rsidR="004260CB" w:rsidRPr="002164E7" w:rsidRDefault="00514820" w:rsidP="004260CB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I</w:t>
            </w:r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>f the undertaking belongs to a cross-border group, the name of the group supervisor and the structure of the group, together with the last group solvency position</w:t>
            </w: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.</w:t>
            </w:r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  <w:r w:rsidR="002164E7">
              <w:rPr>
                <w:rFonts w:asciiTheme="minorHAnsi" w:hAnsiTheme="minorHAnsi" w:cstheme="minorHAnsi"/>
                <w:b/>
                <w:bCs/>
              </w:rPr>
              <w:t>(3.2.1.2.b)</w:t>
            </w:r>
          </w:p>
        </w:tc>
      </w:tr>
      <w:tr w:rsidR="004260CB" w:rsidRPr="002164E7" w14:paraId="5421A46C" w14:textId="77777777" w:rsidTr="00514820">
        <w:trPr>
          <w:trHeight w:val="129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DCCE" w14:textId="77777777" w:rsidR="004260CB" w:rsidRPr="002164E7" w:rsidRDefault="004260CB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ACD8" w14:textId="28FC7DFA" w:rsidR="004260CB" w:rsidRPr="002164E7" w:rsidRDefault="004260CB" w:rsidP="004260CB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</w:tr>
      <w:tr w:rsidR="004260CB" w:rsidRPr="002164E7" w14:paraId="57CE0974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58E6" w14:textId="370E64BE" w:rsidR="004260CB" w:rsidRPr="002164E7" w:rsidRDefault="00EA4175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9</w:t>
            </w:r>
            <w:r w:rsidR="00514820" w:rsidRPr="002164E7">
              <w:rPr>
                <w:rFonts w:asciiTheme="minorHAnsi" w:eastAsia="Verdana" w:hAnsiTheme="minorHAnsi" w:cstheme="minorHAnsi"/>
                <w:b/>
                <w:lang w:val="en-US"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529D" w14:textId="79DB26F2" w:rsidR="004260CB" w:rsidRPr="002164E7" w:rsidRDefault="00514820" w:rsidP="00514820">
            <w:pPr>
              <w:spacing w:line="254" w:lineRule="auto"/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A</w:t>
            </w:r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>ny available information regarding local third or related parties involved in the underwriting activities in the Host Member State</w:t>
            </w: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.</w:t>
            </w:r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  <w:r w:rsidR="002164E7">
              <w:rPr>
                <w:rFonts w:asciiTheme="minorHAnsi" w:hAnsiTheme="minorHAnsi" w:cstheme="minorHAnsi"/>
                <w:b/>
                <w:bCs/>
              </w:rPr>
              <w:t>(3.2.1.2.c)</w:t>
            </w:r>
          </w:p>
        </w:tc>
      </w:tr>
      <w:tr w:rsidR="004260CB" w:rsidRPr="002164E7" w14:paraId="37C5A515" w14:textId="77777777" w:rsidTr="002164E7">
        <w:trPr>
          <w:trHeight w:val="251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961B" w14:textId="77777777" w:rsidR="004260CB" w:rsidRPr="002164E7" w:rsidRDefault="004260CB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733D" w14:textId="39173192" w:rsidR="004260CB" w:rsidRPr="002164E7" w:rsidRDefault="004260CB" w:rsidP="004260CB">
            <w:pPr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 </w:t>
            </w:r>
          </w:p>
        </w:tc>
      </w:tr>
      <w:tr w:rsidR="004260CB" w:rsidRPr="002164E7" w14:paraId="4313AD25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5354" w14:textId="0D7B0C21" w:rsidR="004260CB" w:rsidRPr="002164E7" w:rsidRDefault="00514820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lastRenderedPageBreak/>
              <w:t>1</w:t>
            </w:r>
            <w:r w:rsidR="00EA4175" w:rsidRPr="002164E7">
              <w:rPr>
                <w:rFonts w:asciiTheme="minorHAnsi" w:eastAsia="Verdana" w:hAnsiTheme="minorHAnsi" w:cstheme="minorHAnsi"/>
                <w:b/>
                <w:lang w:val="en-US"/>
              </w:rPr>
              <w:t>0</w:t>
            </w: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AB6F" w14:textId="5F96E987" w:rsidR="004260CB" w:rsidRPr="002164E7" w:rsidRDefault="00514820" w:rsidP="004260CB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I</w:t>
            </w:r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dentification of the person who is responsible within the insurance undertaking for handling of complaints in relation to the </w:t>
            </w:r>
            <w:proofErr w:type="spellStart"/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>FoS</w:t>
            </w:r>
            <w:proofErr w:type="spellEnd"/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activities </w:t>
            </w:r>
            <w:r w:rsidR="002164E7">
              <w:rPr>
                <w:rFonts w:asciiTheme="minorHAnsi" w:hAnsiTheme="minorHAnsi" w:cstheme="minorHAnsi"/>
                <w:b/>
                <w:bCs/>
              </w:rPr>
              <w:t>(3.2.1.2.d)</w:t>
            </w:r>
          </w:p>
        </w:tc>
      </w:tr>
      <w:tr w:rsidR="004260CB" w:rsidRPr="002164E7" w14:paraId="55C22137" w14:textId="77777777" w:rsidTr="00514820">
        <w:trPr>
          <w:trHeight w:val="11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1AD2" w14:textId="77777777" w:rsidR="004260CB" w:rsidRPr="002164E7" w:rsidRDefault="004260CB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E3AC" w14:textId="5D7D3D53" w:rsidR="004260CB" w:rsidRPr="002164E7" w:rsidRDefault="004260CB" w:rsidP="004260CB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</w:tr>
      <w:tr w:rsidR="004260CB" w:rsidRPr="002164E7" w14:paraId="7A31214F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5EF2" w14:textId="726F4D87" w:rsidR="004260CB" w:rsidRPr="002164E7" w:rsidRDefault="00514820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1</w:t>
            </w:r>
            <w:r w:rsidR="00EA4175" w:rsidRPr="002164E7">
              <w:rPr>
                <w:rFonts w:asciiTheme="minorHAnsi" w:eastAsia="Verdana" w:hAnsiTheme="minorHAnsi" w:cstheme="minorHAnsi"/>
                <w:b/>
                <w:lang w:val="en-US"/>
              </w:rPr>
              <w:t>1</w:t>
            </w: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6193" w14:textId="69C750D3" w:rsidR="004260CB" w:rsidRPr="002164E7" w:rsidRDefault="00514820" w:rsidP="004260CB">
            <w:pPr>
              <w:spacing w:after="45"/>
              <w:rPr>
                <w:rFonts w:asciiTheme="minorHAnsi" w:eastAsia="Arial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D</w:t>
            </w:r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escription of the relevant policyholder guarantee funds in the Home Member State, where applicable </w:t>
            </w:r>
            <w:r w:rsidR="002164E7">
              <w:rPr>
                <w:rFonts w:asciiTheme="minorHAnsi" w:hAnsiTheme="minorHAnsi" w:cstheme="minorHAnsi"/>
                <w:b/>
                <w:bCs/>
              </w:rPr>
              <w:t>(3.2.1.2.f)</w:t>
            </w:r>
          </w:p>
        </w:tc>
      </w:tr>
      <w:tr w:rsidR="004260CB" w:rsidRPr="002164E7" w14:paraId="3AEAADA8" w14:textId="77777777" w:rsidTr="00514820">
        <w:trPr>
          <w:trHeight w:val="1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D97C" w14:textId="77777777" w:rsidR="004260CB" w:rsidRPr="002164E7" w:rsidRDefault="004260CB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4395" w14:textId="28A67A09" w:rsidR="004260CB" w:rsidRPr="002164E7" w:rsidRDefault="004260CB" w:rsidP="004260CB">
            <w:pPr>
              <w:spacing w:after="45"/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</w:tr>
      <w:tr w:rsidR="004260CB" w:rsidRPr="002164E7" w14:paraId="6E9EE74D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C789" w14:textId="59BA6E27" w:rsidR="004260CB" w:rsidRPr="002164E7" w:rsidRDefault="00514820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1</w:t>
            </w:r>
            <w:r w:rsidR="00EA4175" w:rsidRPr="002164E7">
              <w:rPr>
                <w:rFonts w:asciiTheme="minorHAnsi" w:eastAsia="Verdana" w:hAnsiTheme="minorHAnsi" w:cstheme="minorHAnsi"/>
                <w:b/>
                <w:lang w:val="en-US"/>
              </w:rPr>
              <w:t>2</w:t>
            </w: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9E26" w14:textId="21E4E312" w:rsidR="004260CB" w:rsidRPr="002164E7" w:rsidRDefault="004260CB" w:rsidP="00514820">
            <w:pPr>
              <w:spacing w:line="254" w:lineRule="auto"/>
              <w:rPr>
                <w:rFonts w:asciiTheme="minorHAnsi" w:hAnsiTheme="minorHAnsi" w:cstheme="minorHAnsi"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Where the undertaking intends to operate exclusively, or almost exclusively, in other EEA Member State(s) on </w:t>
            </w:r>
            <w:proofErr w:type="spellStart"/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FoS</w:t>
            </w:r>
            <w:proofErr w:type="spellEnd"/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  <w:proofErr w:type="gramStart"/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basis</w:t>
            </w:r>
            <w:r w:rsidR="002164E7">
              <w:rPr>
                <w:rFonts w:asciiTheme="minorHAnsi" w:eastAsia="Verdana" w:hAnsiTheme="minorHAnsi" w:cstheme="minorHAnsi"/>
                <w:b/>
              </w:rPr>
              <w:t>(</w:t>
            </w:r>
            <w:proofErr w:type="gramEnd"/>
            <w:r w:rsidR="002164E7">
              <w:rPr>
                <w:rFonts w:asciiTheme="minorHAnsi" w:eastAsia="Verdana" w:hAnsiTheme="minorHAnsi" w:cstheme="minorHAnsi"/>
                <w:b/>
              </w:rPr>
              <w:t>3.2.1.3)</w:t>
            </w:r>
            <w:r w:rsidR="002164E7" w:rsidRPr="00346C6F">
              <w:rPr>
                <w:rFonts w:asciiTheme="minorHAnsi" w:eastAsia="Verdana" w:hAnsiTheme="minorHAnsi" w:cstheme="minorHAnsi"/>
                <w:b/>
              </w:rPr>
              <w:t>:</w:t>
            </w: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</w:tr>
      <w:tr w:rsidR="002164E7" w:rsidRPr="002164E7" w14:paraId="5F3E3432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A85F" w14:textId="77777777" w:rsidR="002164E7" w:rsidRPr="002164E7" w:rsidRDefault="002164E7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E6D5" w14:textId="31949A8A" w:rsidR="002164E7" w:rsidRPr="002164E7" w:rsidRDefault="002164E7" w:rsidP="002164E7">
            <w:pPr>
              <w:spacing w:line="254" w:lineRule="auto"/>
              <w:rPr>
                <w:rFonts w:asciiTheme="minorHAnsi" w:eastAsia="Verdana" w:hAnsiTheme="minorHAnsi" w:cstheme="minorHAnsi"/>
                <w:b/>
                <w:lang w:val="en-US"/>
              </w:rPr>
            </w:pPr>
            <w:r>
              <w:rPr>
                <w:rFonts w:asciiTheme="minorHAnsi" w:eastAsia="Verdana" w:hAnsiTheme="minorHAnsi" w:cstheme="minorHAnsi"/>
                <w:b/>
                <w:lang w:val="en-US"/>
              </w:rPr>
              <w:t xml:space="preserve">a. </w:t>
            </w: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identification, through for example the persons(s) ID card,</w:t>
            </w:r>
            <w:r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  <w:proofErr w:type="gramStart"/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passport</w:t>
            </w:r>
            <w:proofErr w:type="gramEnd"/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or nomination document(s), of the </w:t>
            </w:r>
            <w:proofErr w:type="spellStart"/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personsn</w:t>
            </w:r>
            <w:proofErr w:type="spellEnd"/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who</w:t>
            </w:r>
            <w:r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effectively run the undertaking or are responsible for the key</w:t>
            </w:r>
            <w:r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functions. This information shall be communicated in all applicable</w:t>
            </w:r>
            <w:r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>cases</w:t>
            </w:r>
          </w:p>
        </w:tc>
      </w:tr>
      <w:tr w:rsidR="002164E7" w:rsidRPr="002164E7" w14:paraId="3D7908A9" w14:textId="77777777" w:rsidTr="002164E7">
        <w:trPr>
          <w:trHeight w:val="152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126F" w14:textId="77777777" w:rsidR="002164E7" w:rsidRPr="002164E7" w:rsidRDefault="002164E7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1A04" w14:textId="77777777" w:rsidR="002164E7" w:rsidRDefault="002164E7" w:rsidP="002164E7">
            <w:pPr>
              <w:spacing w:line="254" w:lineRule="auto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</w:tr>
      <w:tr w:rsidR="004260CB" w:rsidRPr="002164E7" w14:paraId="4298B38E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C5AC" w14:textId="77777777" w:rsidR="004260CB" w:rsidRPr="002164E7" w:rsidRDefault="004260CB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1C0B" w14:textId="57367421" w:rsidR="004260CB" w:rsidRPr="002164E7" w:rsidRDefault="002164E7" w:rsidP="002164E7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  <w:r>
              <w:rPr>
                <w:rFonts w:asciiTheme="minorHAnsi" w:eastAsia="Verdana" w:hAnsiTheme="minorHAnsi" w:cstheme="minorHAnsi"/>
                <w:b/>
                <w:lang w:val="en-US"/>
              </w:rPr>
              <w:t xml:space="preserve">b. </w:t>
            </w:r>
            <w:r w:rsidR="00514820" w:rsidRPr="002164E7">
              <w:rPr>
                <w:rFonts w:asciiTheme="minorHAnsi" w:eastAsia="Verdana" w:hAnsiTheme="minorHAnsi" w:cstheme="minorHAnsi"/>
                <w:b/>
                <w:lang w:val="en-US"/>
              </w:rPr>
              <w:t>a summary of the undertaking's system of governance, including the risk management system in place</w:t>
            </w:r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</w:t>
            </w:r>
          </w:p>
        </w:tc>
      </w:tr>
      <w:tr w:rsidR="00514820" w:rsidRPr="002164E7" w14:paraId="15DA698D" w14:textId="77777777" w:rsidTr="002164E7">
        <w:trPr>
          <w:trHeight w:val="115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B18B" w14:textId="77777777" w:rsidR="00514820" w:rsidRPr="002164E7" w:rsidRDefault="00514820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E587" w14:textId="77777777" w:rsidR="00514820" w:rsidRPr="002164E7" w:rsidRDefault="00514820" w:rsidP="004260CB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</w:tr>
      <w:tr w:rsidR="004260CB" w:rsidRPr="002164E7" w14:paraId="2ED29123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E30A" w14:textId="77777777" w:rsidR="004260CB" w:rsidRPr="002164E7" w:rsidRDefault="004260CB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DB31" w14:textId="21D44D31" w:rsidR="004260CB" w:rsidRPr="002164E7" w:rsidRDefault="002164E7" w:rsidP="002164E7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  <w:r>
              <w:rPr>
                <w:rFonts w:asciiTheme="minorHAnsi" w:eastAsia="Verdana" w:hAnsiTheme="minorHAnsi" w:cstheme="minorHAnsi"/>
                <w:b/>
                <w:lang w:val="en-US"/>
              </w:rPr>
              <w:t xml:space="preserve">c. </w:t>
            </w:r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any available information on the undertaking’s business strategy and how the </w:t>
            </w:r>
            <w:proofErr w:type="spellStart"/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>FoS</w:t>
            </w:r>
            <w:proofErr w:type="spellEnd"/>
            <w:r w:rsidR="004260CB"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fits into that strategy </w:t>
            </w:r>
          </w:p>
        </w:tc>
      </w:tr>
      <w:tr w:rsidR="004260CB" w:rsidRPr="002164E7" w14:paraId="6BDA6C9D" w14:textId="77777777" w:rsidTr="002164E7">
        <w:trPr>
          <w:trHeight w:val="11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0A26" w14:textId="77777777" w:rsidR="004260CB" w:rsidRPr="002164E7" w:rsidRDefault="004260CB" w:rsidP="004260CB">
            <w:pPr>
              <w:ind w:left="5"/>
              <w:rPr>
                <w:rFonts w:asciiTheme="minorHAnsi" w:eastAsia="Verdana" w:hAnsiTheme="minorHAnsi" w:cstheme="minorHAnsi"/>
                <w:b/>
                <w:lang w:val="en-US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3656" w14:textId="06120321" w:rsidR="004260CB" w:rsidRPr="002164E7" w:rsidRDefault="004260CB" w:rsidP="004260CB">
            <w:pPr>
              <w:rPr>
                <w:rFonts w:asciiTheme="minorHAnsi" w:eastAsia="Verdana" w:hAnsiTheme="minorHAnsi" w:cstheme="minorHAnsi"/>
                <w:b/>
                <w:lang w:val="en-US"/>
              </w:rPr>
            </w:pPr>
            <w:r w:rsidRPr="002164E7">
              <w:rPr>
                <w:rFonts w:asciiTheme="minorHAnsi" w:eastAsia="Verdana" w:hAnsiTheme="minorHAnsi" w:cstheme="minorHAnsi"/>
                <w:b/>
                <w:lang w:val="en-US"/>
              </w:rPr>
              <w:t xml:space="preserve">  </w:t>
            </w:r>
          </w:p>
        </w:tc>
      </w:tr>
    </w:tbl>
    <w:p w14:paraId="2F535104" w14:textId="77777777" w:rsidR="00114CE5" w:rsidRPr="002164E7" w:rsidRDefault="007E668F">
      <w:pPr>
        <w:spacing w:after="0"/>
        <w:jc w:val="both"/>
        <w:rPr>
          <w:rFonts w:asciiTheme="minorHAnsi" w:hAnsiTheme="minorHAnsi" w:cstheme="minorHAnsi"/>
          <w:lang w:val="en-US"/>
        </w:rPr>
      </w:pPr>
      <w:r w:rsidRPr="002164E7">
        <w:rPr>
          <w:rFonts w:asciiTheme="minorHAnsi" w:eastAsia="Verdana" w:hAnsiTheme="minorHAnsi" w:cstheme="minorHAnsi"/>
          <w:lang w:val="en-US"/>
        </w:rPr>
        <w:t xml:space="preserve"> </w:t>
      </w:r>
      <w:r w:rsidRPr="002164E7">
        <w:rPr>
          <w:rFonts w:asciiTheme="minorHAnsi" w:eastAsia="Verdana" w:hAnsiTheme="minorHAnsi" w:cstheme="minorHAnsi"/>
          <w:lang w:val="en-US"/>
        </w:rPr>
        <w:tab/>
        <w:t xml:space="preserve"> </w:t>
      </w:r>
    </w:p>
    <w:p w14:paraId="2A57DA60" w14:textId="77777777" w:rsidR="00114CE5" w:rsidRPr="002164E7" w:rsidRDefault="00114CE5">
      <w:pPr>
        <w:spacing w:after="0"/>
        <w:ind w:left="-1416" w:right="6"/>
        <w:rPr>
          <w:rFonts w:asciiTheme="minorHAnsi" w:hAnsiTheme="minorHAnsi" w:cstheme="minorHAnsi"/>
          <w:lang w:val="en-US"/>
        </w:rPr>
      </w:pPr>
    </w:p>
    <w:p w14:paraId="467F8ADF" w14:textId="77777777" w:rsidR="00114CE5" w:rsidRPr="002164E7" w:rsidRDefault="007E668F">
      <w:pPr>
        <w:spacing w:after="0"/>
        <w:jc w:val="both"/>
        <w:rPr>
          <w:rFonts w:asciiTheme="minorHAnsi" w:hAnsiTheme="minorHAnsi" w:cstheme="minorHAnsi"/>
          <w:lang w:val="en-US"/>
        </w:rPr>
      </w:pPr>
      <w:r w:rsidRPr="002164E7">
        <w:rPr>
          <w:rFonts w:asciiTheme="minorHAnsi" w:eastAsia="Verdana" w:hAnsiTheme="minorHAnsi" w:cstheme="minorHAnsi"/>
          <w:lang w:val="en-US"/>
        </w:rPr>
        <w:t xml:space="preserve"> </w:t>
      </w:r>
    </w:p>
    <w:sectPr w:rsidR="00114CE5" w:rsidRPr="002164E7">
      <w:footerReference w:type="even" r:id="rId7"/>
      <w:footerReference w:type="default" r:id="rId8"/>
      <w:footerReference w:type="first" r:id="rId9"/>
      <w:pgSz w:w="11904" w:h="16838"/>
      <w:pgMar w:top="1421" w:right="1411" w:bottom="1608" w:left="1416" w:header="708" w:footer="7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7351" w14:textId="77777777" w:rsidR="007E22AE" w:rsidRDefault="007E668F">
      <w:pPr>
        <w:spacing w:after="0" w:line="240" w:lineRule="auto"/>
      </w:pPr>
      <w:r>
        <w:separator/>
      </w:r>
    </w:p>
  </w:endnote>
  <w:endnote w:type="continuationSeparator" w:id="0">
    <w:p w14:paraId="1C351347" w14:textId="77777777" w:rsidR="007E22AE" w:rsidRDefault="007E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D1F8" w14:textId="77777777" w:rsidR="00114CE5" w:rsidRDefault="007E668F"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20"/>
      </w:rPr>
      <w:t>1</w:t>
    </w:r>
    <w:r>
      <w:rPr>
        <w:rFonts w:ascii="Verdana" w:eastAsia="Verdana" w:hAnsi="Verdana" w:cs="Verdana"/>
        <w:sz w:val="20"/>
      </w:rPr>
      <w:fldChar w:fldCharType="end"/>
    </w:r>
    <w:r>
      <w:rPr>
        <w:rFonts w:ascii="Verdana" w:eastAsia="Verdana" w:hAnsi="Verdana" w:cs="Verdana"/>
        <w:sz w:val="20"/>
      </w:rPr>
      <w:t xml:space="preserve"> </w:t>
    </w:r>
  </w:p>
  <w:p w14:paraId="34120AC9" w14:textId="77777777" w:rsidR="00114CE5" w:rsidRDefault="007E668F">
    <w:pPr>
      <w:spacing w:after="0"/>
    </w:pPr>
    <w:r>
      <w:rPr>
        <w:rFonts w:ascii="Verdana" w:eastAsia="Verdana" w:hAnsi="Verdana" w:cs="Verdan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DFCF" w14:textId="77777777" w:rsidR="00114CE5" w:rsidRDefault="007E668F"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20"/>
      </w:rPr>
      <w:t>1</w:t>
    </w:r>
    <w:r>
      <w:rPr>
        <w:rFonts w:ascii="Verdana" w:eastAsia="Verdana" w:hAnsi="Verdana" w:cs="Verdana"/>
        <w:sz w:val="20"/>
      </w:rPr>
      <w:fldChar w:fldCharType="end"/>
    </w:r>
    <w:r>
      <w:rPr>
        <w:rFonts w:ascii="Verdana" w:eastAsia="Verdana" w:hAnsi="Verdana" w:cs="Verdana"/>
        <w:sz w:val="20"/>
      </w:rPr>
      <w:t xml:space="preserve"> </w:t>
    </w:r>
  </w:p>
  <w:p w14:paraId="1996BE3A" w14:textId="77777777" w:rsidR="00114CE5" w:rsidRDefault="007E668F">
    <w:pPr>
      <w:spacing w:after="0"/>
    </w:pPr>
    <w:r>
      <w:rPr>
        <w:rFonts w:ascii="Verdana" w:eastAsia="Verdana" w:hAnsi="Verdana" w:cs="Verdan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BC7D" w14:textId="77777777" w:rsidR="00114CE5" w:rsidRDefault="007E668F"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20"/>
      </w:rPr>
      <w:t>1</w:t>
    </w:r>
    <w:r>
      <w:rPr>
        <w:rFonts w:ascii="Verdana" w:eastAsia="Verdana" w:hAnsi="Verdana" w:cs="Verdana"/>
        <w:sz w:val="20"/>
      </w:rPr>
      <w:fldChar w:fldCharType="end"/>
    </w:r>
    <w:r>
      <w:rPr>
        <w:rFonts w:ascii="Verdana" w:eastAsia="Verdana" w:hAnsi="Verdana" w:cs="Verdana"/>
        <w:sz w:val="20"/>
      </w:rPr>
      <w:t xml:space="preserve"> </w:t>
    </w:r>
  </w:p>
  <w:p w14:paraId="5630F10F" w14:textId="77777777" w:rsidR="00114CE5" w:rsidRDefault="007E668F">
    <w:pPr>
      <w:spacing w:after="0"/>
    </w:pPr>
    <w:r>
      <w:rPr>
        <w:rFonts w:ascii="Verdana" w:eastAsia="Verdana" w:hAnsi="Verdana" w:cs="Verdan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F7637" w14:textId="77777777" w:rsidR="007E22AE" w:rsidRDefault="007E668F">
      <w:pPr>
        <w:spacing w:after="0" w:line="240" w:lineRule="auto"/>
      </w:pPr>
      <w:r>
        <w:separator/>
      </w:r>
    </w:p>
  </w:footnote>
  <w:footnote w:type="continuationSeparator" w:id="0">
    <w:p w14:paraId="07540BA1" w14:textId="77777777" w:rsidR="007E22AE" w:rsidRDefault="007E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5A7C"/>
    <w:multiLevelType w:val="hybridMultilevel"/>
    <w:tmpl w:val="B69AE758"/>
    <w:lvl w:ilvl="0" w:tplc="26944B9A">
      <w:start w:val="1"/>
      <w:numFmt w:val="lowerLetter"/>
      <w:lvlText w:val="%1."/>
      <w:lvlJc w:val="left"/>
      <w:pPr>
        <w:ind w:left="405" w:hanging="360"/>
      </w:pPr>
      <w:rPr>
        <w:rFonts w:eastAsia="Verdana"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F061894"/>
    <w:multiLevelType w:val="hybridMultilevel"/>
    <w:tmpl w:val="43A43CCC"/>
    <w:lvl w:ilvl="0" w:tplc="D1428DE4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5C3432">
      <w:start w:val="1"/>
      <w:numFmt w:val="bullet"/>
      <w:lvlText w:val="o"/>
      <w:lvlJc w:val="left"/>
      <w:pPr>
        <w:ind w:left="11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846810">
      <w:start w:val="1"/>
      <w:numFmt w:val="bullet"/>
      <w:lvlText w:val="▪"/>
      <w:lvlJc w:val="left"/>
      <w:pPr>
        <w:ind w:left="19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4DFDA">
      <w:start w:val="1"/>
      <w:numFmt w:val="bullet"/>
      <w:lvlText w:val="•"/>
      <w:lvlJc w:val="left"/>
      <w:pPr>
        <w:ind w:left="26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E2BD3C">
      <w:start w:val="1"/>
      <w:numFmt w:val="bullet"/>
      <w:lvlText w:val="o"/>
      <w:lvlJc w:val="left"/>
      <w:pPr>
        <w:ind w:left="33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FA07B0">
      <w:start w:val="1"/>
      <w:numFmt w:val="bullet"/>
      <w:lvlText w:val="▪"/>
      <w:lvlJc w:val="left"/>
      <w:pPr>
        <w:ind w:left="4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B87AB8">
      <w:start w:val="1"/>
      <w:numFmt w:val="bullet"/>
      <w:lvlText w:val="•"/>
      <w:lvlJc w:val="left"/>
      <w:pPr>
        <w:ind w:left="47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AE797A">
      <w:start w:val="1"/>
      <w:numFmt w:val="bullet"/>
      <w:lvlText w:val="o"/>
      <w:lvlJc w:val="left"/>
      <w:pPr>
        <w:ind w:left="55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E97B4">
      <w:start w:val="1"/>
      <w:numFmt w:val="bullet"/>
      <w:lvlText w:val="▪"/>
      <w:lvlJc w:val="left"/>
      <w:pPr>
        <w:ind w:left="62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616FA"/>
    <w:multiLevelType w:val="hybridMultilevel"/>
    <w:tmpl w:val="8344660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76C56"/>
    <w:multiLevelType w:val="hybridMultilevel"/>
    <w:tmpl w:val="F29CFE82"/>
    <w:lvl w:ilvl="0" w:tplc="744AA19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7A69E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CE0688">
      <w:start w:val="1"/>
      <w:numFmt w:val="bullet"/>
      <w:lvlText w:val="▪"/>
      <w:lvlJc w:val="left"/>
      <w:pPr>
        <w:ind w:left="19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D68F62">
      <w:start w:val="1"/>
      <w:numFmt w:val="bullet"/>
      <w:lvlText w:val="•"/>
      <w:lvlJc w:val="left"/>
      <w:pPr>
        <w:ind w:left="26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86E33E">
      <w:start w:val="1"/>
      <w:numFmt w:val="bullet"/>
      <w:lvlText w:val="o"/>
      <w:lvlJc w:val="left"/>
      <w:pPr>
        <w:ind w:left="33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05DCC">
      <w:start w:val="1"/>
      <w:numFmt w:val="bullet"/>
      <w:lvlText w:val="▪"/>
      <w:lvlJc w:val="left"/>
      <w:pPr>
        <w:ind w:left="40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BA5DA4">
      <w:start w:val="1"/>
      <w:numFmt w:val="bullet"/>
      <w:lvlText w:val="•"/>
      <w:lvlJc w:val="left"/>
      <w:pPr>
        <w:ind w:left="4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0995A">
      <w:start w:val="1"/>
      <w:numFmt w:val="bullet"/>
      <w:lvlText w:val="o"/>
      <w:lvlJc w:val="left"/>
      <w:pPr>
        <w:ind w:left="5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9A7BF6">
      <w:start w:val="1"/>
      <w:numFmt w:val="bullet"/>
      <w:lvlText w:val="▪"/>
      <w:lvlJc w:val="left"/>
      <w:pPr>
        <w:ind w:left="6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2957816">
    <w:abstractNumId w:val="3"/>
  </w:num>
  <w:num w:numId="2" w16cid:durableId="1837498399">
    <w:abstractNumId w:val="1"/>
  </w:num>
  <w:num w:numId="3" w16cid:durableId="1029141446">
    <w:abstractNumId w:val="0"/>
  </w:num>
  <w:num w:numId="4" w16cid:durableId="1816096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E5"/>
    <w:rsid w:val="00114CE5"/>
    <w:rsid w:val="002164E7"/>
    <w:rsid w:val="004260CB"/>
    <w:rsid w:val="00431452"/>
    <w:rsid w:val="00514820"/>
    <w:rsid w:val="007E22AE"/>
    <w:rsid w:val="007E668F"/>
    <w:rsid w:val="009F6410"/>
    <w:rsid w:val="00BB0846"/>
    <w:rsid w:val="00C8090C"/>
    <w:rsid w:val="00E0734D"/>
    <w:rsid w:val="00EA4175"/>
    <w:rsid w:val="00EC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E76CE"/>
  <w15:docId w15:val="{A9E8BDBA-C1B7-4627-93DD-A5A5EC56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4260C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164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64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64E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4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4E7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450</Words>
  <Characters>2455</Characters>
  <Application>Microsoft Office Word</Application>
  <DocSecurity>0</DocSecurity>
  <Lines>102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SohnsAnn</dc:creator>
  <cp:keywords/>
  <cp:lastModifiedBy>Feriančeková Adriana</cp:lastModifiedBy>
  <cp:revision>8</cp:revision>
  <dcterms:created xsi:type="dcterms:W3CDTF">2021-10-20T08:50:00Z</dcterms:created>
  <dcterms:modified xsi:type="dcterms:W3CDTF">2024-03-12T08:59:00Z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2a8d28a0f640091794684872812f4e3cb1486e350073b079f5907b21443446a9</vt:lpwstr>
  </property>
</Properties>
</file>