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4BEC1" w14:textId="77777777" w:rsidR="00CA5BEF" w:rsidRDefault="00CA5BEF" w:rsidP="00CA5BEF">
      <w:pPr>
        <w:pStyle w:val="Heading1"/>
        <w:jc w:val="center"/>
      </w:pPr>
      <w:r>
        <w:t>Vykazovacie povinnosti AISP</w:t>
      </w:r>
    </w:p>
    <w:p w14:paraId="1236E38F" w14:textId="06B4FFDB" w:rsidR="00CA5BEF" w:rsidRPr="003D68AB" w:rsidRDefault="00CA5BEF" w:rsidP="00CA5BEF">
      <w:pPr>
        <w:pStyle w:val="NormalWeb"/>
        <w:shd w:val="clear" w:color="auto" w:fill="FFFFFF" w:themeFill="background1"/>
        <w:spacing w:after="0"/>
        <w:textAlignment w:val="baseline"/>
        <w:rPr>
          <w:rFonts w:asciiTheme="minorHAnsi" w:hAnsiTheme="minorHAnsi" w:cstheme="minorBidi"/>
          <w:color w:val="000000" w:themeColor="text1"/>
          <w:sz w:val="19"/>
          <w:szCs w:val="19"/>
        </w:rPr>
      </w:pPr>
      <w:r w:rsidRPr="003D68AB">
        <w:rPr>
          <w:rFonts w:asciiTheme="minorHAnsi" w:hAnsiTheme="minorHAnsi" w:cstheme="minorBidi"/>
          <w:color w:val="000000" w:themeColor="text1"/>
          <w:sz w:val="19"/>
          <w:szCs w:val="19"/>
        </w:rPr>
        <w:t>V zmysle zákona č. 747/2004 Z. z. o dohľade nad finančným trhom a o zmene a doplnení niektorých zákonov v znení neskorších predpisov (ďalej len „</w:t>
      </w:r>
      <w:r w:rsidRPr="00AF41FA">
        <w:rPr>
          <w:rFonts w:asciiTheme="minorHAnsi" w:hAnsiTheme="minorHAnsi" w:cstheme="minorBidi"/>
          <w:b/>
          <w:bCs/>
          <w:color w:val="000000" w:themeColor="text1"/>
          <w:sz w:val="19"/>
          <w:szCs w:val="19"/>
        </w:rPr>
        <w:t>Zákon 747/2004</w:t>
      </w:r>
      <w:r w:rsidRPr="003D68AB">
        <w:rPr>
          <w:rFonts w:asciiTheme="minorHAnsi" w:hAnsiTheme="minorHAnsi" w:cstheme="minorBidi"/>
          <w:color w:val="000000" w:themeColor="text1"/>
          <w:sz w:val="19"/>
          <w:szCs w:val="19"/>
        </w:rPr>
        <w:t>“) Národná banka Slovenska v rámci dohľadu nad finančným trhom vykonáva dohľad nad dohliadanými subjektmi</w:t>
      </w:r>
      <w:r w:rsidR="0024047C">
        <w:rPr>
          <w:rFonts w:asciiTheme="minorHAnsi" w:hAnsiTheme="minorHAnsi" w:cstheme="minorBidi"/>
          <w:color w:val="000000" w:themeColor="text1"/>
          <w:sz w:val="19"/>
          <w:szCs w:val="19"/>
        </w:rPr>
        <w:t>,</w:t>
      </w:r>
      <w:r w:rsidRPr="003D68AB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a</w:t>
      </w:r>
      <w:r w:rsidR="0024047C">
        <w:rPr>
          <w:rFonts w:asciiTheme="minorHAnsi" w:hAnsiTheme="minorHAnsi" w:cstheme="minorBidi"/>
          <w:color w:val="000000" w:themeColor="text1"/>
          <w:sz w:val="19"/>
          <w:szCs w:val="19"/>
        </w:rPr>
        <w:t> </w:t>
      </w:r>
      <w:r w:rsidRPr="003D68AB">
        <w:rPr>
          <w:rFonts w:asciiTheme="minorHAnsi" w:hAnsiTheme="minorHAnsi" w:cstheme="minorBidi"/>
          <w:color w:val="000000" w:themeColor="text1"/>
          <w:sz w:val="19"/>
          <w:szCs w:val="19"/>
        </w:rPr>
        <w:t>to</w:t>
      </w:r>
      <w:r w:rsidR="0024047C">
        <w:rPr>
          <w:rFonts w:asciiTheme="minorHAnsi" w:hAnsiTheme="minorHAnsi" w:cstheme="minorBidi"/>
          <w:color w:val="000000" w:themeColor="text1"/>
          <w:sz w:val="19"/>
          <w:szCs w:val="19"/>
        </w:rPr>
        <w:t>,</w:t>
      </w:r>
      <w:r w:rsidRPr="003D68AB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okrem iných</w:t>
      </w:r>
      <w:r w:rsidR="0024047C">
        <w:rPr>
          <w:rFonts w:asciiTheme="minorHAnsi" w:hAnsiTheme="minorHAnsi" w:cstheme="minorBidi"/>
          <w:color w:val="000000" w:themeColor="text1"/>
          <w:sz w:val="19"/>
          <w:szCs w:val="19"/>
        </w:rPr>
        <w:t>,</w:t>
      </w:r>
      <w:r w:rsidRPr="003D68AB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</w:t>
      </w:r>
      <w:r w:rsidR="00A84808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aj </w:t>
      </w:r>
      <w:r w:rsidRPr="003D68AB">
        <w:rPr>
          <w:rFonts w:asciiTheme="minorHAnsi" w:hAnsiTheme="minorHAnsi" w:cstheme="minorBidi"/>
          <w:color w:val="000000" w:themeColor="text1"/>
          <w:sz w:val="19"/>
          <w:szCs w:val="19"/>
        </w:rPr>
        <w:t>nad poskytovateľmi služieb informovania o platobnom účte</w:t>
      </w:r>
      <w:r w:rsidR="002E6498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(ďalej aj „AISP“)</w:t>
      </w:r>
      <w:r w:rsidRPr="003D68AB">
        <w:rPr>
          <w:rFonts w:asciiTheme="minorHAnsi" w:hAnsiTheme="minorHAnsi" w:cstheme="minorBidi"/>
          <w:color w:val="000000" w:themeColor="text1"/>
          <w:sz w:val="19"/>
          <w:szCs w:val="19"/>
        </w:rPr>
        <w:t>, ktor</w:t>
      </w:r>
      <w:r w:rsidR="0024047C">
        <w:rPr>
          <w:rFonts w:asciiTheme="minorHAnsi" w:hAnsiTheme="minorHAnsi" w:cstheme="minorBidi"/>
          <w:color w:val="000000" w:themeColor="text1"/>
          <w:sz w:val="19"/>
          <w:szCs w:val="19"/>
        </w:rPr>
        <w:t>í</w:t>
      </w:r>
      <w:r w:rsidRPr="003D68AB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</w:t>
      </w:r>
      <w:r w:rsidR="00A84808">
        <w:rPr>
          <w:rFonts w:asciiTheme="minorHAnsi" w:hAnsiTheme="minorHAnsi" w:cstheme="minorBidi"/>
          <w:color w:val="000000" w:themeColor="text1"/>
          <w:sz w:val="19"/>
          <w:szCs w:val="19"/>
        </w:rPr>
        <w:t>sú</w:t>
      </w:r>
      <w:r w:rsidR="00A84808" w:rsidRPr="003D68AB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povinn</w:t>
      </w:r>
      <w:r w:rsidR="00A84808">
        <w:rPr>
          <w:rFonts w:asciiTheme="minorHAnsi" w:hAnsiTheme="minorHAnsi" w:cstheme="minorBidi"/>
          <w:color w:val="000000" w:themeColor="text1"/>
          <w:sz w:val="19"/>
          <w:szCs w:val="19"/>
        </w:rPr>
        <w:t>í</w:t>
      </w:r>
      <w:r w:rsidR="00A84808" w:rsidRPr="003D68AB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</w:t>
      </w:r>
      <w:r w:rsidRPr="003D68AB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riadiť </w:t>
      </w:r>
      <w:r w:rsidR="00A84808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sa </w:t>
      </w:r>
      <w:r w:rsidRPr="003D68AB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ustanoveniami </w:t>
      </w:r>
      <w:hyperlink r:id="rId8">
        <w:r w:rsidRPr="00AF41FA">
          <w:rPr>
            <w:rStyle w:val="Hyperlink"/>
            <w:rFonts w:ascii="Cambria" w:hAnsi="Cambria"/>
            <w:color w:val="000000" w:themeColor="text1"/>
            <w:sz w:val="18"/>
            <w:szCs w:val="18"/>
            <w:u w:val="none"/>
          </w:rPr>
          <w:t>zákona č. 492/2009 Z. z. o platobných službách a o zmene a doplnení niektorých zákonov v znení neskorších predpisov</w:t>
        </w:r>
      </w:hyperlink>
      <w:r w:rsidRPr="00AF41FA">
        <w:rPr>
          <w:rStyle w:val="Hyperlink"/>
          <w:rFonts w:ascii="Cambria" w:hAnsi="Cambria"/>
          <w:color w:val="000000" w:themeColor="text1"/>
          <w:sz w:val="18"/>
          <w:szCs w:val="18"/>
          <w:u w:val="none"/>
        </w:rPr>
        <w:t xml:space="preserve"> (ďalej len „</w:t>
      </w:r>
      <w:r w:rsidRPr="00AF41FA">
        <w:rPr>
          <w:rStyle w:val="Hyperlink"/>
          <w:rFonts w:ascii="Cambria" w:hAnsi="Cambria"/>
          <w:b/>
          <w:bCs/>
          <w:color w:val="000000" w:themeColor="text1"/>
          <w:sz w:val="18"/>
          <w:szCs w:val="18"/>
          <w:u w:val="none"/>
        </w:rPr>
        <w:t>Zákon 492/2009</w:t>
      </w:r>
      <w:r w:rsidRPr="00AF41FA">
        <w:rPr>
          <w:rStyle w:val="Hyperlink"/>
          <w:rFonts w:ascii="Cambria" w:hAnsi="Cambria"/>
          <w:color w:val="000000" w:themeColor="text1"/>
          <w:sz w:val="18"/>
          <w:szCs w:val="18"/>
          <w:u w:val="none"/>
        </w:rPr>
        <w:t>“)</w:t>
      </w:r>
      <w:r w:rsidRPr="003D68AB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a inou aktuálne platnou právnou úpravou.</w:t>
      </w:r>
    </w:p>
    <w:p w14:paraId="12CBE30D" w14:textId="77777777" w:rsidR="002E6498" w:rsidRPr="007B52E0" w:rsidRDefault="002E6498" w:rsidP="002E6498">
      <w:pPr>
        <w:pStyle w:val="NormalWeb"/>
        <w:shd w:val="clear" w:color="auto" w:fill="FFFFFF" w:themeFill="background1"/>
        <w:textAlignment w:val="baseline"/>
        <w:rPr>
          <w:rFonts w:asciiTheme="minorHAnsi" w:hAnsiTheme="minorHAnsi"/>
          <w:color w:val="000000" w:themeColor="text1"/>
          <w:sz w:val="19"/>
          <w:szCs w:val="19"/>
        </w:rPr>
      </w:pPr>
      <w:r w:rsidRPr="007B52E0">
        <w:rPr>
          <w:rFonts w:asciiTheme="minorHAnsi" w:hAnsiTheme="minorHAnsi"/>
          <w:color w:val="000000" w:themeColor="text1"/>
          <w:sz w:val="19"/>
          <w:szCs w:val="19"/>
        </w:rPr>
        <w:t xml:space="preserve">V nadväznosti na uvedené Národná banka Slovenska na účely dohľadu na diaľku v zmysle § 35 ods. 1 </w:t>
      </w:r>
      <w:r>
        <w:rPr>
          <w:rFonts w:asciiTheme="minorHAnsi" w:hAnsiTheme="minorHAnsi"/>
          <w:color w:val="000000" w:themeColor="text1"/>
          <w:sz w:val="19"/>
          <w:szCs w:val="19"/>
        </w:rPr>
        <w:t>Zákona 747/2004</w:t>
      </w:r>
      <w:r w:rsidRPr="007B52E0">
        <w:rPr>
          <w:rFonts w:asciiTheme="minorHAnsi" w:hAnsiTheme="minorHAnsi"/>
          <w:color w:val="000000" w:themeColor="text1"/>
          <w:sz w:val="19"/>
          <w:szCs w:val="19"/>
        </w:rPr>
        <w:t xml:space="preserve"> žiada </w:t>
      </w:r>
      <w:r w:rsidRPr="00182F97">
        <w:rPr>
          <w:rFonts w:asciiTheme="minorHAnsi" w:hAnsiTheme="minorHAnsi" w:cstheme="minorBidi"/>
          <w:b/>
          <w:bCs/>
          <w:color w:val="000000" w:themeColor="text1"/>
          <w:sz w:val="19"/>
          <w:szCs w:val="19"/>
        </w:rPr>
        <w:t>poskytovateľov služieb informovania o platobnom účte</w:t>
      </w:r>
      <w:r w:rsidRPr="007B52E0">
        <w:rPr>
          <w:rFonts w:asciiTheme="minorHAnsi" w:hAnsiTheme="minorHAnsi"/>
          <w:color w:val="000000" w:themeColor="text1"/>
          <w:sz w:val="19"/>
          <w:szCs w:val="19"/>
        </w:rPr>
        <w:t xml:space="preserve"> o</w:t>
      </w:r>
      <w:r>
        <w:rPr>
          <w:rFonts w:asciiTheme="minorHAnsi" w:hAnsiTheme="minorHAnsi"/>
          <w:color w:val="000000" w:themeColor="text1"/>
          <w:sz w:val="19"/>
          <w:szCs w:val="19"/>
        </w:rPr>
        <w:t xml:space="preserve"> predkladanie </w:t>
      </w:r>
      <w:r w:rsidRPr="007B52E0">
        <w:rPr>
          <w:rFonts w:asciiTheme="minorHAnsi" w:hAnsiTheme="minorHAnsi"/>
          <w:color w:val="000000" w:themeColor="text1"/>
          <w:sz w:val="19"/>
          <w:szCs w:val="19"/>
        </w:rPr>
        <w:t xml:space="preserve">nasledovných </w:t>
      </w:r>
      <w:r>
        <w:rPr>
          <w:rFonts w:asciiTheme="minorHAnsi" w:hAnsiTheme="minorHAnsi"/>
          <w:color w:val="000000" w:themeColor="text1"/>
          <w:sz w:val="19"/>
          <w:szCs w:val="19"/>
        </w:rPr>
        <w:t>dokumentov</w:t>
      </w:r>
      <w:r w:rsidRPr="007B52E0">
        <w:rPr>
          <w:rFonts w:asciiTheme="minorHAnsi" w:hAnsiTheme="minorHAnsi"/>
          <w:color w:val="000000" w:themeColor="text1"/>
          <w:sz w:val="19"/>
          <w:szCs w:val="19"/>
        </w:rPr>
        <w:t>:</w:t>
      </w:r>
    </w:p>
    <w:p w14:paraId="696A9F8F" w14:textId="0ABDCC63" w:rsidR="002E6498" w:rsidRDefault="00A84808" w:rsidP="002E6498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425" w:hanging="357"/>
        <w:textAlignment w:val="baseline"/>
        <w:rPr>
          <w:rFonts w:asciiTheme="minorHAnsi" w:hAnsiTheme="minorHAnsi" w:cstheme="minorBidi"/>
          <w:color w:val="000000" w:themeColor="text1"/>
          <w:sz w:val="19"/>
          <w:szCs w:val="19"/>
        </w:rPr>
      </w:pPr>
      <w:r>
        <w:rPr>
          <w:rFonts w:asciiTheme="minorHAnsi" w:hAnsiTheme="minorHAnsi" w:cstheme="minorBidi"/>
          <w:color w:val="000000" w:themeColor="text1"/>
          <w:sz w:val="19"/>
          <w:szCs w:val="19"/>
        </w:rPr>
        <w:t>V</w:t>
      </w:r>
      <w:r w:rsidR="00CA5BEF" w:rsidRPr="002E6498">
        <w:rPr>
          <w:rFonts w:asciiTheme="minorHAnsi" w:hAnsiTheme="minorHAnsi" w:cstheme="minorBidi"/>
          <w:color w:val="000000" w:themeColor="text1"/>
          <w:sz w:val="19"/>
          <w:szCs w:val="19"/>
        </w:rPr>
        <w:t>ýkazy</w:t>
      </w:r>
      <w:r w:rsidR="0024047C">
        <w:rPr>
          <w:rFonts w:asciiTheme="minorHAnsi" w:hAnsiTheme="minorHAnsi" w:cstheme="minorBidi"/>
          <w:color w:val="000000" w:themeColor="text1"/>
          <w:sz w:val="19"/>
          <w:szCs w:val="19"/>
        </w:rPr>
        <w:t>,</w:t>
      </w:r>
      <w:r w:rsidR="00CA5BEF" w:rsidRPr="002E6498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a to Bilanciu aktív a pasív, Výkaz ziskov a strát pravidelne mesačne do 25 kalendárnych dní odo dňa, ku ktorému sa vypracúvajú a to elektronicky prostredníctvom </w:t>
      </w:r>
      <w:r w:rsidR="002E6498" w:rsidRPr="007B52E0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informačného systému Štatistický zberový portál (ďalej len „IS ŠZP“). </w:t>
      </w:r>
    </w:p>
    <w:p w14:paraId="3A78211E" w14:textId="3D394435" w:rsidR="002E6498" w:rsidRDefault="00A84808" w:rsidP="002E6498">
      <w:pPr>
        <w:pStyle w:val="NormalWeb"/>
        <w:shd w:val="clear" w:color="auto" w:fill="FFFFFF" w:themeFill="background1"/>
        <w:spacing w:before="0" w:beforeAutospacing="0" w:after="0" w:afterAutospacing="0"/>
        <w:ind w:left="425"/>
        <w:textAlignment w:val="baseline"/>
        <w:rPr>
          <w:rFonts w:asciiTheme="minorHAnsi" w:hAnsiTheme="minorHAnsi" w:cstheme="minorBidi"/>
          <w:color w:val="000000" w:themeColor="text1"/>
          <w:sz w:val="19"/>
          <w:szCs w:val="19"/>
        </w:rPr>
      </w:pPr>
      <w:r>
        <w:rPr>
          <w:rFonts w:asciiTheme="minorHAnsi" w:hAnsiTheme="minorHAnsi" w:cstheme="minorBidi"/>
          <w:color w:val="000000" w:themeColor="text1"/>
          <w:sz w:val="19"/>
          <w:szCs w:val="19"/>
        </w:rPr>
        <w:t>V</w:t>
      </w:r>
      <w:r w:rsidR="002E6498" w:rsidRPr="007B52E0">
        <w:rPr>
          <w:rFonts w:asciiTheme="minorHAnsi" w:hAnsiTheme="minorHAnsi" w:cstheme="minorBidi"/>
          <w:color w:val="000000" w:themeColor="text1"/>
          <w:sz w:val="19"/>
          <w:szCs w:val="19"/>
        </w:rPr>
        <w:t>ýkazy sa vypracúvajú podľa stavu k poslednému dňu príslušného kalendárneho mesiaca</w:t>
      </w:r>
      <w:r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, </w:t>
      </w:r>
      <w:r w:rsidR="002E6498" w:rsidRPr="007B52E0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vo forme ako sú uvedené v </w:t>
      </w:r>
      <w:r w:rsidR="002E6498" w:rsidRPr="003D68AB">
        <w:rPr>
          <w:rFonts w:asciiTheme="minorHAnsi" w:hAnsiTheme="minorHAnsi" w:cstheme="minorBidi"/>
          <w:color w:val="000000" w:themeColor="text1"/>
          <w:sz w:val="19"/>
          <w:szCs w:val="19"/>
        </w:rPr>
        <w:t>Opatren</w:t>
      </w:r>
      <w:r w:rsidR="002E6498">
        <w:rPr>
          <w:rFonts w:asciiTheme="minorHAnsi" w:hAnsiTheme="minorHAnsi" w:cstheme="minorBidi"/>
          <w:color w:val="000000" w:themeColor="text1"/>
          <w:sz w:val="19"/>
          <w:szCs w:val="19"/>
        </w:rPr>
        <w:t>í</w:t>
      </w:r>
      <w:r w:rsidR="002E6498" w:rsidRPr="003D68AB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Národnej banky Slovenska č. 8/2019 o predkladaní výkazov platobnými inštitúciami, pobočkami zahraničných platobných inštitúcií, inštitúciami elektronických peňazí a pobočkami zahraničných inštitúcií elektronických peňazí </w:t>
      </w:r>
      <w:r w:rsidR="002E6498">
        <w:rPr>
          <w:rFonts w:asciiTheme="minorHAnsi" w:hAnsiTheme="minorHAnsi" w:cstheme="minorBidi"/>
          <w:color w:val="000000" w:themeColor="text1"/>
          <w:sz w:val="19"/>
          <w:szCs w:val="19"/>
        </w:rPr>
        <w:t>v platnom znení.</w:t>
      </w:r>
    </w:p>
    <w:p w14:paraId="54B21B66" w14:textId="77777777" w:rsidR="002E6498" w:rsidRDefault="002E6498" w:rsidP="002E6498">
      <w:pPr>
        <w:pStyle w:val="NormalWeb"/>
        <w:shd w:val="clear" w:color="auto" w:fill="FFFFFF" w:themeFill="background1"/>
        <w:spacing w:before="0" w:beforeAutospacing="0" w:after="0" w:afterAutospacing="0"/>
        <w:ind w:left="425"/>
        <w:textAlignment w:val="baseline"/>
        <w:rPr>
          <w:rFonts w:asciiTheme="minorHAnsi" w:hAnsiTheme="minorHAnsi" w:cstheme="minorBidi"/>
          <w:color w:val="000000" w:themeColor="text1"/>
          <w:sz w:val="19"/>
          <w:szCs w:val="19"/>
        </w:rPr>
      </w:pPr>
    </w:p>
    <w:p w14:paraId="749C6865" w14:textId="1880AB94" w:rsidR="002E6498" w:rsidRDefault="002E6498" w:rsidP="002E6498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425" w:hanging="357"/>
        <w:textAlignment w:val="baseline"/>
        <w:rPr>
          <w:rFonts w:asciiTheme="minorHAnsi" w:hAnsiTheme="minorHAnsi" w:cstheme="minorBidi"/>
          <w:color w:val="000000" w:themeColor="text1"/>
          <w:sz w:val="19"/>
          <w:szCs w:val="19"/>
        </w:rPr>
      </w:pPr>
      <w:r w:rsidRPr="00AF41FA">
        <w:rPr>
          <w:rFonts w:asciiTheme="minorHAnsi" w:hAnsiTheme="minorHAnsi"/>
          <w:color w:val="000000" w:themeColor="text1"/>
          <w:sz w:val="19"/>
          <w:szCs w:val="19"/>
        </w:rPr>
        <w:t>Informáciu, ktorý audítor bol poverený overením účtovnej závierky spoločnosti</w:t>
      </w:r>
      <w:r w:rsidR="0024047C">
        <w:rPr>
          <w:rFonts w:asciiTheme="minorHAnsi" w:hAnsiTheme="minorHAnsi"/>
          <w:color w:val="000000" w:themeColor="text1"/>
          <w:sz w:val="19"/>
          <w:szCs w:val="19"/>
        </w:rPr>
        <w:t>,</w:t>
      </w:r>
      <w:r w:rsidRPr="00AF41FA">
        <w:rPr>
          <w:rFonts w:asciiTheme="minorHAnsi" w:hAnsiTheme="minorHAnsi"/>
          <w:color w:val="000000" w:themeColor="text1"/>
          <w:sz w:val="19"/>
          <w:szCs w:val="19"/>
        </w:rPr>
        <w:t xml:space="preserve"> a to do 30. júna kalendárneho roka alebo do polovice účtovného obdobia, za ktoré sa má audit vykonať</w:t>
      </w:r>
      <w:r>
        <w:rPr>
          <w:rFonts w:asciiTheme="minorHAnsi" w:hAnsiTheme="minorHAnsi" w:cstheme="minorBidi"/>
          <w:color w:val="000000" w:themeColor="text1"/>
          <w:sz w:val="19"/>
          <w:szCs w:val="19"/>
        </w:rPr>
        <w:t>.</w:t>
      </w:r>
    </w:p>
    <w:p w14:paraId="79B9EC58" w14:textId="77777777" w:rsidR="002E6498" w:rsidRDefault="002E6498" w:rsidP="00AF41FA">
      <w:pPr>
        <w:pStyle w:val="NormalWeb"/>
        <w:shd w:val="clear" w:color="auto" w:fill="FFFFFF" w:themeFill="background1"/>
        <w:spacing w:before="0" w:beforeAutospacing="0" w:after="0" w:afterAutospacing="0"/>
        <w:ind w:left="425"/>
        <w:textAlignment w:val="baseline"/>
        <w:rPr>
          <w:rFonts w:asciiTheme="minorHAnsi" w:hAnsiTheme="minorHAnsi" w:cstheme="minorBidi"/>
          <w:color w:val="000000" w:themeColor="text1"/>
          <w:sz w:val="19"/>
          <w:szCs w:val="19"/>
        </w:rPr>
      </w:pPr>
    </w:p>
    <w:p w14:paraId="0A71DDD4" w14:textId="0ACA5B75" w:rsidR="002E6498" w:rsidRPr="002E6498" w:rsidRDefault="002E6498" w:rsidP="00AF41FA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425" w:hanging="357"/>
        <w:textAlignment w:val="baseline"/>
        <w:rPr>
          <w:rFonts w:asciiTheme="minorHAnsi" w:hAnsiTheme="minorHAnsi" w:cstheme="minorBidi"/>
          <w:color w:val="000000" w:themeColor="text1"/>
          <w:sz w:val="19"/>
          <w:szCs w:val="19"/>
        </w:rPr>
      </w:pPr>
      <w:r>
        <w:rPr>
          <w:rFonts w:asciiTheme="minorHAnsi" w:hAnsiTheme="minorHAnsi" w:cstheme="minorBidi"/>
          <w:color w:val="000000" w:themeColor="text1"/>
          <w:sz w:val="19"/>
          <w:szCs w:val="19"/>
        </w:rPr>
        <w:t>L</w:t>
      </w:r>
      <w:r w:rsidR="00CA5BEF" w:rsidRPr="003D68AB">
        <w:rPr>
          <w:rFonts w:asciiTheme="minorHAnsi" w:hAnsiTheme="minorHAnsi" w:cstheme="minorBidi"/>
          <w:color w:val="000000" w:themeColor="text1"/>
          <w:sz w:val="19"/>
          <w:szCs w:val="19"/>
        </w:rPr>
        <w:t>ist odporúčaní audítora vedeniu spoločnosti</w:t>
      </w:r>
      <w:r w:rsidR="0024047C">
        <w:rPr>
          <w:rFonts w:asciiTheme="minorHAnsi" w:hAnsiTheme="minorHAnsi" w:cstheme="minorBidi"/>
          <w:color w:val="000000" w:themeColor="text1"/>
          <w:sz w:val="19"/>
          <w:szCs w:val="19"/>
        </w:rPr>
        <w:t>,</w:t>
      </w:r>
      <w:r w:rsidR="00CA5BEF" w:rsidRPr="003D68AB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a to do šiestich mesiacov odo dňa skončenia obdobia, za ktoré bol audit vykonaný. V prípade, že list odporúčaní audítor nevydal, žiadame predmetnú informáciu taktiež predložiť do šiestich mesiacov odo dňa skončenia obdobia, za ktoré bol audit vykonaný.</w:t>
      </w:r>
    </w:p>
    <w:p w14:paraId="50F23B4E" w14:textId="77777777" w:rsidR="002E6498" w:rsidRDefault="002E6498" w:rsidP="00AF41FA">
      <w:pPr>
        <w:pStyle w:val="NormalWeb"/>
        <w:shd w:val="clear" w:color="auto" w:fill="FFFFFF" w:themeFill="background1"/>
        <w:spacing w:before="0" w:beforeAutospacing="0" w:after="0" w:afterAutospacing="0"/>
        <w:ind w:left="425"/>
        <w:textAlignment w:val="baseline"/>
        <w:rPr>
          <w:rFonts w:asciiTheme="minorHAnsi" w:hAnsiTheme="minorHAnsi" w:cstheme="minorBidi"/>
          <w:color w:val="000000" w:themeColor="text1"/>
          <w:sz w:val="19"/>
          <w:szCs w:val="19"/>
        </w:rPr>
      </w:pPr>
    </w:p>
    <w:p w14:paraId="21D27B83" w14:textId="0F020265" w:rsidR="00CA5BEF" w:rsidRDefault="002E6498" w:rsidP="00E26E9F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425" w:hanging="357"/>
        <w:textAlignment w:val="baseline"/>
        <w:rPr>
          <w:rFonts w:asciiTheme="minorHAnsi" w:hAnsiTheme="minorHAnsi" w:cstheme="minorBidi"/>
          <w:color w:val="000000" w:themeColor="text1"/>
          <w:sz w:val="19"/>
          <w:szCs w:val="19"/>
        </w:rPr>
      </w:pPr>
      <w:r>
        <w:rPr>
          <w:rFonts w:asciiTheme="minorHAnsi" w:hAnsiTheme="minorHAnsi" w:cstheme="minorBidi"/>
          <w:color w:val="000000" w:themeColor="text1"/>
          <w:sz w:val="19"/>
          <w:szCs w:val="19"/>
        </w:rPr>
        <w:t>Z</w:t>
      </w:r>
      <w:r w:rsidR="00CA5BEF" w:rsidRPr="003D68AB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mluvy o poistení zodpovednosti za škodu to po pred uplynutím platnosti aktuálne uzatvorenej a to s ktorou poisťovňou plánuje spoločnosť predmetnú zmluvu uzatvoriť, na aké obdobie, s akou poistnou sumou a poistným. Zároveň žiadame predložiť novo uzatvorenú zmluvu o poistení zodpovednosti za škodu na ďalšie obdobie. </w:t>
      </w:r>
    </w:p>
    <w:p w14:paraId="07C10935" w14:textId="77777777" w:rsidR="002E6498" w:rsidRDefault="002E6498" w:rsidP="00AF41FA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Bidi"/>
          <w:color w:val="000000" w:themeColor="text1"/>
          <w:sz w:val="19"/>
          <w:szCs w:val="19"/>
        </w:rPr>
      </w:pPr>
    </w:p>
    <w:p w14:paraId="5B4A5703" w14:textId="7760FA05" w:rsidR="00E24EDB" w:rsidRDefault="002E6498" w:rsidP="00F53F77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425" w:hanging="357"/>
        <w:textAlignment w:val="baseline"/>
        <w:rPr>
          <w:rFonts w:asciiTheme="minorHAnsi" w:hAnsiTheme="minorHAnsi" w:cstheme="minorBidi"/>
          <w:color w:val="000000" w:themeColor="text1"/>
          <w:sz w:val="19"/>
          <w:szCs w:val="19"/>
        </w:rPr>
      </w:pPr>
      <w:r>
        <w:rPr>
          <w:rFonts w:asciiTheme="minorHAnsi" w:hAnsiTheme="minorHAnsi" w:cstheme="minorBidi"/>
          <w:color w:val="000000" w:themeColor="text1"/>
          <w:sz w:val="19"/>
          <w:szCs w:val="19"/>
        </w:rPr>
        <w:t>P</w:t>
      </w:r>
      <w:r w:rsidR="00D835BB" w:rsidRPr="00633B9E">
        <w:rPr>
          <w:rFonts w:asciiTheme="minorHAnsi" w:hAnsiTheme="minorHAnsi" w:cstheme="minorBidi"/>
          <w:color w:val="000000" w:themeColor="text1"/>
          <w:sz w:val="19"/>
          <w:szCs w:val="19"/>
        </w:rPr>
        <w:t>ravidelne mesačne vždy k 25. dňu v mesiaci a to elektronicky na dohladplatobnesluzby@nbs.sk nasledovné informácie</w:t>
      </w:r>
      <w:r w:rsidR="00F53F77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o </w:t>
      </w:r>
      <w:r w:rsidR="00D835BB" w:rsidRPr="00633B9E">
        <w:rPr>
          <w:rFonts w:asciiTheme="minorHAnsi" w:hAnsiTheme="minorHAnsi" w:cstheme="minorBidi"/>
          <w:color w:val="000000" w:themeColor="text1"/>
          <w:sz w:val="19"/>
          <w:szCs w:val="19"/>
        </w:rPr>
        <w:t>počt</w:t>
      </w:r>
      <w:r w:rsidR="00F53F77">
        <w:rPr>
          <w:rFonts w:asciiTheme="minorHAnsi" w:hAnsiTheme="minorHAnsi" w:cstheme="minorBidi"/>
          <w:color w:val="000000" w:themeColor="text1"/>
          <w:sz w:val="19"/>
          <w:szCs w:val="19"/>
        </w:rPr>
        <w:t>e</w:t>
      </w:r>
      <w:r w:rsidR="00D835BB" w:rsidRPr="00633B9E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</w:t>
      </w:r>
      <w:r w:rsidR="00633B9E" w:rsidRPr="00633B9E">
        <w:rPr>
          <w:rFonts w:asciiTheme="minorHAnsi" w:hAnsiTheme="minorHAnsi" w:cstheme="minorBidi"/>
          <w:color w:val="000000" w:themeColor="text1"/>
          <w:sz w:val="19"/>
          <w:szCs w:val="19"/>
        </w:rPr>
        <w:t>volaní</w:t>
      </w:r>
      <w:r w:rsidR="00D835BB" w:rsidRPr="00633B9E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</w:t>
      </w:r>
      <w:r w:rsidR="00F53F77">
        <w:rPr>
          <w:rFonts w:asciiTheme="minorHAnsi" w:hAnsiTheme="minorHAnsi" w:cstheme="minorBidi"/>
          <w:color w:val="000000" w:themeColor="text1"/>
          <w:sz w:val="19"/>
          <w:szCs w:val="19"/>
        </w:rPr>
        <w:t>resp.</w:t>
      </w:r>
      <w:r w:rsidR="00D835BB" w:rsidRPr="00633B9E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o</w:t>
      </w:r>
      <w:r w:rsidR="00C11995">
        <w:rPr>
          <w:rFonts w:asciiTheme="minorHAnsi" w:hAnsiTheme="minorHAnsi" w:cstheme="minorBidi"/>
          <w:color w:val="000000" w:themeColor="text1"/>
          <w:sz w:val="19"/>
          <w:szCs w:val="19"/>
        </w:rPr>
        <w:t> </w:t>
      </w:r>
      <w:r w:rsidR="00D835BB" w:rsidRPr="00633B9E">
        <w:rPr>
          <w:rFonts w:asciiTheme="minorHAnsi" w:hAnsiTheme="minorHAnsi" w:cstheme="minorBidi"/>
          <w:color w:val="000000" w:themeColor="text1"/>
          <w:sz w:val="19"/>
          <w:szCs w:val="19"/>
        </w:rPr>
        <w:t>počte</w:t>
      </w:r>
      <w:r w:rsidR="00C11995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žiadostí adresovaných na API</w:t>
      </w:r>
      <w:r w:rsidR="00D835BB" w:rsidRPr="00633B9E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</w:t>
      </w:r>
      <w:r w:rsidR="00F354E1">
        <w:rPr>
          <w:rFonts w:asciiTheme="minorHAnsi" w:hAnsiTheme="minorHAnsi" w:cstheme="minorBidi"/>
          <w:color w:val="000000" w:themeColor="text1"/>
          <w:sz w:val="19"/>
          <w:szCs w:val="19"/>
        </w:rPr>
        <w:t>poskytovateľo</w:t>
      </w:r>
      <w:r w:rsidR="00C11995">
        <w:rPr>
          <w:rFonts w:asciiTheme="minorHAnsi" w:hAnsiTheme="minorHAnsi" w:cstheme="minorBidi"/>
          <w:color w:val="000000" w:themeColor="text1"/>
          <w:sz w:val="19"/>
          <w:szCs w:val="19"/>
        </w:rPr>
        <w:t>v</w:t>
      </w:r>
      <w:r w:rsidR="00F354E1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platobných služieb vedúci</w:t>
      </w:r>
      <w:r w:rsidR="00C11995">
        <w:rPr>
          <w:rFonts w:asciiTheme="minorHAnsi" w:hAnsiTheme="minorHAnsi" w:cstheme="minorBidi"/>
          <w:color w:val="000000" w:themeColor="text1"/>
          <w:sz w:val="19"/>
          <w:szCs w:val="19"/>
        </w:rPr>
        <w:t>ch</w:t>
      </w:r>
      <w:r w:rsidR="00F354E1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platobný účet </w:t>
      </w:r>
      <w:r w:rsidR="00F53F77">
        <w:rPr>
          <w:rFonts w:asciiTheme="minorHAnsi" w:hAnsiTheme="minorHAnsi" w:cstheme="minorBidi"/>
          <w:color w:val="000000" w:themeColor="text1"/>
          <w:sz w:val="19"/>
          <w:szCs w:val="19"/>
        </w:rPr>
        <w:t>(</w:t>
      </w:r>
      <w:r w:rsidR="00F354E1">
        <w:rPr>
          <w:rFonts w:asciiTheme="minorHAnsi" w:hAnsiTheme="minorHAnsi" w:cstheme="minorBidi"/>
          <w:color w:val="000000" w:themeColor="text1"/>
          <w:sz w:val="19"/>
          <w:szCs w:val="19"/>
        </w:rPr>
        <w:t>ďalej len „</w:t>
      </w:r>
      <w:r w:rsidR="00F354E1" w:rsidRPr="00E26E9F">
        <w:rPr>
          <w:rFonts w:asciiTheme="minorHAnsi" w:hAnsiTheme="minorHAnsi" w:cstheme="minorBidi"/>
          <w:b/>
          <w:bCs/>
          <w:color w:val="000000" w:themeColor="text1"/>
          <w:sz w:val="19"/>
          <w:szCs w:val="19"/>
        </w:rPr>
        <w:t>ASPSP</w:t>
      </w:r>
      <w:r w:rsidR="00F354E1">
        <w:rPr>
          <w:rFonts w:asciiTheme="minorHAnsi" w:hAnsiTheme="minorHAnsi" w:cstheme="minorBidi"/>
          <w:color w:val="000000" w:themeColor="text1"/>
          <w:sz w:val="19"/>
          <w:szCs w:val="19"/>
        </w:rPr>
        <w:t>“)</w:t>
      </w:r>
      <w:r w:rsidR="00F354E1" w:rsidRPr="00633B9E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</w:t>
      </w:r>
      <w:r w:rsidR="00D835BB" w:rsidRPr="00633B9E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so sídlom v SR ako aj zahraničným </w:t>
      </w:r>
      <w:r w:rsidR="00F354E1">
        <w:rPr>
          <w:rFonts w:asciiTheme="minorHAnsi" w:hAnsiTheme="minorHAnsi" w:cstheme="minorBidi"/>
          <w:color w:val="000000" w:themeColor="text1"/>
          <w:sz w:val="19"/>
          <w:szCs w:val="19"/>
        </w:rPr>
        <w:t>ASPSP</w:t>
      </w:r>
      <w:r w:rsidR="00D835BB" w:rsidRPr="00633B9E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v členení podľa úspešnosti</w:t>
      </w:r>
      <w:r w:rsidR="00F53F77">
        <w:rPr>
          <w:rFonts w:asciiTheme="minorHAnsi" w:hAnsiTheme="minorHAnsi" w:cstheme="minorBidi"/>
          <w:color w:val="000000" w:themeColor="text1"/>
          <w:sz w:val="19"/>
          <w:szCs w:val="19"/>
        </w:rPr>
        <w:t>.</w:t>
      </w:r>
      <w:r w:rsidR="00E26E9F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</w:t>
      </w:r>
      <w:r w:rsidR="00F11F73">
        <w:rPr>
          <w:rFonts w:asciiTheme="minorHAnsi" w:hAnsiTheme="minorHAnsi" w:cstheme="minorBidi"/>
          <w:color w:val="000000" w:themeColor="text1"/>
          <w:sz w:val="19"/>
          <w:szCs w:val="19"/>
        </w:rPr>
        <w:t>Tieto</w:t>
      </w:r>
      <w:r w:rsidR="00E24EDB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informácie žiadame predkladať </w:t>
      </w:r>
      <w:r w:rsidR="00F11F73">
        <w:rPr>
          <w:rFonts w:asciiTheme="minorHAnsi" w:hAnsiTheme="minorHAnsi" w:cstheme="minorBidi"/>
          <w:color w:val="000000" w:themeColor="text1"/>
          <w:sz w:val="19"/>
          <w:szCs w:val="19"/>
        </w:rPr>
        <w:t>podľa</w:t>
      </w:r>
      <w:r w:rsidR="00E24EDB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nižšie uvedeného </w:t>
      </w:r>
      <w:r w:rsidR="0024047C">
        <w:rPr>
          <w:rFonts w:asciiTheme="minorHAnsi" w:hAnsiTheme="minorHAnsi" w:cstheme="minorBidi"/>
          <w:color w:val="000000" w:themeColor="text1"/>
          <w:sz w:val="19"/>
          <w:szCs w:val="19"/>
        </w:rPr>
        <w:t>vzoru</w:t>
      </w:r>
      <w:r w:rsidR="00E24EDB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. </w:t>
      </w:r>
    </w:p>
    <w:p w14:paraId="5CFFF785" w14:textId="77777777" w:rsidR="00D859F6" w:rsidRDefault="00D859F6" w:rsidP="00E24EDB">
      <w:pPr>
        <w:pStyle w:val="NormalWeb"/>
        <w:shd w:val="clear" w:color="auto" w:fill="FFFFFF" w:themeFill="background1"/>
        <w:spacing w:before="0" w:beforeAutospacing="0" w:after="0" w:afterAutospacing="0"/>
        <w:ind w:left="397"/>
        <w:textAlignment w:val="baseline"/>
        <w:rPr>
          <w:rFonts w:asciiTheme="minorHAnsi" w:hAnsiTheme="minorHAnsi" w:cstheme="minorBidi"/>
          <w:color w:val="000000" w:themeColor="text1"/>
          <w:sz w:val="19"/>
          <w:szCs w:val="19"/>
        </w:rPr>
      </w:pPr>
    </w:p>
    <w:bookmarkStart w:id="0" w:name="_Hlk131077239"/>
    <w:p w14:paraId="3B9DD258" w14:textId="369ED756" w:rsidR="000F4BE6" w:rsidRDefault="00C11995" w:rsidP="00D859F6">
      <w:pPr>
        <w:pStyle w:val="NormalWeb"/>
        <w:shd w:val="clear" w:color="auto" w:fill="FFFFFF" w:themeFill="background1"/>
        <w:spacing w:after="0" w:afterAutospacing="0"/>
        <w:textAlignment w:val="baseline"/>
        <w:rPr>
          <w:rFonts w:asciiTheme="minorHAnsi" w:hAnsiTheme="minorHAnsi" w:cstheme="minorBidi"/>
          <w:color w:val="000000" w:themeColor="text1"/>
          <w:sz w:val="19"/>
          <w:szCs w:val="19"/>
        </w:rPr>
      </w:pPr>
      <w:r>
        <w:rPr>
          <w:rFonts w:asciiTheme="minorHAnsi" w:hAnsiTheme="minorHAnsi" w:cstheme="minorBidi"/>
          <w:color w:val="000000" w:themeColor="text1"/>
          <w:sz w:val="19"/>
          <w:szCs w:val="19"/>
        </w:rPr>
        <w:object w:dxaOrig="1520" w:dyaOrig="985" w14:anchorId="06B7D8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76pt;height:49.5pt" o:ole="">
            <v:imagedata r:id="rId9" o:title=""/>
          </v:shape>
          <o:OLEObject Type="Embed" ProgID="Excel.Sheet.12" ShapeID="_x0000_i1050" DrawAspect="Icon" ObjectID="_1742801865" r:id="rId10"/>
        </w:object>
      </w:r>
    </w:p>
    <w:p w14:paraId="717DB0E5" w14:textId="45B13DD4" w:rsidR="002E6498" w:rsidRDefault="002E6498" w:rsidP="00D859F6">
      <w:pPr>
        <w:pStyle w:val="NormalWeb"/>
        <w:shd w:val="clear" w:color="auto" w:fill="FFFFFF" w:themeFill="background1"/>
        <w:spacing w:after="0" w:afterAutospacing="0"/>
        <w:textAlignment w:val="baseline"/>
        <w:rPr>
          <w:rFonts w:asciiTheme="minorHAnsi" w:hAnsiTheme="minorHAnsi" w:cstheme="minorBidi"/>
          <w:color w:val="000000" w:themeColor="text1"/>
          <w:sz w:val="19"/>
          <w:szCs w:val="19"/>
        </w:rPr>
      </w:pPr>
      <w:r w:rsidRPr="003D68AB">
        <w:rPr>
          <w:rFonts w:asciiTheme="minorHAnsi" w:hAnsiTheme="minorHAnsi" w:cstheme="minorBidi"/>
          <w:color w:val="000000" w:themeColor="text1"/>
          <w:sz w:val="19"/>
          <w:szCs w:val="19"/>
        </w:rPr>
        <w:t>Dávame do pozornosti</w:t>
      </w:r>
      <w:r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, že na poskytovateľa platobných služieb informovania o účte sa primerane vzťahujú ustanovenie </w:t>
      </w:r>
      <w:r w:rsidRPr="007A161C">
        <w:rPr>
          <w:rFonts w:asciiTheme="minorHAnsi" w:hAnsiTheme="minorHAnsi" w:cstheme="minorBidi"/>
          <w:b/>
          <w:bCs/>
          <w:color w:val="000000" w:themeColor="text1"/>
          <w:sz w:val="19"/>
          <w:szCs w:val="19"/>
        </w:rPr>
        <w:t>§ 28c a 28d</w:t>
      </w:r>
      <w:r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Zákona 492/2009. Podľa predmetných ustanovení</w:t>
      </w:r>
      <w:r w:rsidRPr="003D68AB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poskytovateľ platobných </w:t>
      </w:r>
      <w:r>
        <w:rPr>
          <w:rFonts w:asciiTheme="minorHAnsi" w:hAnsiTheme="minorHAnsi" w:cstheme="minorBidi"/>
          <w:color w:val="000000" w:themeColor="text1"/>
          <w:sz w:val="19"/>
          <w:szCs w:val="19"/>
        </w:rPr>
        <w:t>okrem iného:</w:t>
      </w:r>
    </w:p>
    <w:p w14:paraId="7DF8296A" w14:textId="2C8C86DB" w:rsidR="002E6498" w:rsidRDefault="002E6498" w:rsidP="002E6498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Bidi"/>
          <w:color w:val="000000" w:themeColor="text1"/>
          <w:sz w:val="19"/>
          <w:szCs w:val="19"/>
        </w:rPr>
      </w:pPr>
      <w:r w:rsidRPr="003D68AB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najmenej raz ročne poskytuje Národnej banke Slovenska aktualizované a </w:t>
      </w:r>
      <w:r w:rsidRPr="007A161C">
        <w:rPr>
          <w:rFonts w:asciiTheme="minorHAnsi" w:hAnsiTheme="minorHAnsi" w:cstheme="minorBidi"/>
          <w:b/>
          <w:bCs/>
          <w:color w:val="000000" w:themeColor="text1"/>
          <w:sz w:val="19"/>
          <w:szCs w:val="19"/>
        </w:rPr>
        <w:t>komplexné posúdenie riadenia prevádzkového rizika a bezpečnostného rizika</w:t>
      </w:r>
      <w:r w:rsidRPr="003D68AB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súvisiacich s poskytovaním platobných služieb, ako aj primeranosť opatrení na zmiernenie takýchto rizík a zavedených kontrolných mechanizmov s cieľom reagovať na takéto riziká</w:t>
      </w:r>
    </w:p>
    <w:p w14:paraId="3459BAD3" w14:textId="7F1A1381" w:rsidR="002E6498" w:rsidRPr="003D68AB" w:rsidRDefault="002E6498" w:rsidP="002E6498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Bidi"/>
          <w:color w:val="000000" w:themeColor="text1"/>
          <w:sz w:val="19"/>
          <w:szCs w:val="19"/>
        </w:rPr>
      </w:pPr>
      <w:r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informuje </w:t>
      </w:r>
      <w:r w:rsidRPr="007A161C">
        <w:rPr>
          <w:rFonts w:asciiTheme="minorHAnsi" w:hAnsiTheme="minorHAnsi" w:cstheme="minorBidi"/>
          <w:color w:val="000000" w:themeColor="text1"/>
          <w:sz w:val="19"/>
          <w:szCs w:val="19"/>
        </w:rPr>
        <w:t>Národnú banku Slovenska</w:t>
      </w:r>
      <w:r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</w:t>
      </w:r>
      <w:r w:rsidRPr="007A161C">
        <w:rPr>
          <w:rFonts w:asciiTheme="minorHAnsi" w:hAnsiTheme="minorHAnsi" w:cstheme="minorBidi"/>
          <w:b/>
          <w:bCs/>
          <w:color w:val="000000" w:themeColor="text1"/>
          <w:sz w:val="19"/>
          <w:szCs w:val="19"/>
        </w:rPr>
        <w:t>o</w:t>
      </w:r>
      <w:r w:rsidR="00A84808">
        <w:rPr>
          <w:rFonts w:asciiTheme="minorHAnsi" w:hAnsiTheme="minorHAnsi" w:cstheme="minorBidi"/>
          <w:b/>
          <w:bCs/>
          <w:color w:val="000000" w:themeColor="text1"/>
          <w:sz w:val="19"/>
          <w:szCs w:val="19"/>
        </w:rPr>
        <w:t xml:space="preserve"> závažnom </w:t>
      </w:r>
      <w:r w:rsidRPr="007A161C">
        <w:rPr>
          <w:rFonts w:asciiTheme="minorHAnsi" w:hAnsiTheme="minorHAnsi" w:cstheme="minorBidi"/>
          <w:b/>
          <w:bCs/>
          <w:color w:val="000000" w:themeColor="text1"/>
          <w:sz w:val="19"/>
          <w:szCs w:val="19"/>
        </w:rPr>
        <w:t>incident</w:t>
      </w:r>
      <w:r>
        <w:rPr>
          <w:rFonts w:asciiTheme="minorHAnsi" w:hAnsiTheme="minorHAnsi" w:cstheme="minorBidi"/>
          <w:b/>
          <w:bCs/>
          <w:color w:val="000000" w:themeColor="text1"/>
          <w:sz w:val="19"/>
          <w:szCs w:val="19"/>
        </w:rPr>
        <w:t>e</w:t>
      </w:r>
      <w:r w:rsidR="00266961">
        <w:rPr>
          <w:rFonts w:asciiTheme="minorHAnsi" w:hAnsiTheme="minorHAnsi" w:cstheme="minorBidi"/>
          <w:b/>
          <w:bCs/>
          <w:color w:val="000000" w:themeColor="text1"/>
          <w:sz w:val="19"/>
          <w:szCs w:val="19"/>
        </w:rPr>
        <w:t xml:space="preserve"> </w:t>
      </w:r>
      <w:r w:rsidR="00266961" w:rsidRPr="002E6498">
        <w:rPr>
          <w:rFonts w:asciiTheme="minorHAnsi" w:hAnsiTheme="minorHAnsi" w:cstheme="minorBidi"/>
          <w:color w:val="000000" w:themeColor="text1"/>
          <w:sz w:val="19"/>
          <w:szCs w:val="19"/>
        </w:rPr>
        <w:t>prostredníctvom</w:t>
      </w:r>
      <w:r w:rsidR="00266961">
        <w:rPr>
          <w:rFonts w:asciiTheme="minorHAnsi" w:hAnsiTheme="minorHAnsi" w:cstheme="minorBidi"/>
          <w:color w:val="000000" w:themeColor="text1"/>
          <w:sz w:val="19"/>
          <w:szCs w:val="19"/>
        </w:rPr>
        <w:t xml:space="preserve"> IS ŠZP.</w:t>
      </w:r>
    </w:p>
    <w:p w14:paraId="607AAAB7" w14:textId="364E9521" w:rsidR="00FF04B5" w:rsidRPr="00564381" w:rsidRDefault="002E6498" w:rsidP="002E6498">
      <w:pPr>
        <w:pStyle w:val="NormalWeb"/>
        <w:shd w:val="clear" w:color="auto" w:fill="FFFFFF" w:themeFill="background1"/>
        <w:spacing w:after="0"/>
        <w:textAlignment w:val="baseline"/>
      </w:pPr>
      <w:r w:rsidRPr="00786027">
        <w:rPr>
          <w:rFonts w:asciiTheme="minorHAnsi" w:hAnsiTheme="minorHAnsi" w:cstheme="minorBidi"/>
          <w:sz w:val="19"/>
          <w:szCs w:val="19"/>
        </w:rPr>
        <w:t xml:space="preserve">Zároveň odporúčame priebežne sledovať </w:t>
      </w:r>
      <w:hyperlink r:id="rId11" w:history="1">
        <w:r w:rsidRPr="00786027">
          <w:rPr>
            <w:rStyle w:val="Hyperlink"/>
            <w:rFonts w:asciiTheme="minorHAnsi" w:hAnsiTheme="minorHAnsi" w:cstheme="minorBidi"/>
            <w:sz w:val="19"/>
            <w:szCs w:val="19"/>
          </w:rPr>
          <w:t>webové sídlo Národnej banky Slovenska</w:t>
        </w:r>
      </w:hyperlink>
      <w:r w:rsidRPr="00072A48">
        <w:rPr>
          <w:rFonts w:asciiTheme="minorHAnsi" w:hAnsiTheme="minorHAnsi" w:cstheme="minorBidi"/>
          <w:color w:val="FF0000"/>
          <w:sz w:val="19"/>
          <w:szCs w:val="19"/>
        </w:rPr>
        <w:t xml:space="preserve"> </w:t>
      </w:r>
      <w:r>
        <w:rPr>
          <w:rFonts w:asciiTheme="minorHAnsi" w:hAnsiTheme="minorHAnsi" w:cstheme="minorBidi"/>
          <w:color w:val="FF0000"/>
          <w:sz w:val="19"/>
          <w:szCs w:val="19"/>
        </w:rPr>
        <w:t xml:space="preserve"> </w:t>
      </w:r>
      <w:r w:rsidRPr="00786027">
        <w:rPr>
          <w:rFonts w:asciiTheme="minorHAnsi" w:hAnsiTheme="minorHAnsi" w:cstheme="minorBidi"/>
          <w:sz w:val="19"/>
          <w:szCs w:val="19"/>
        </w:rPr>
        <w:t xml:space="preserve">ako aj naplánované vzory výkazov v IS ŠZP. </w:t>
      </w:r>
      <w:bookmarkEnd w:id="0"/>
    </w:p>
    <w:sectPr w:rsidR="00FF04B5" w:rsidRPr="00564381" w:rsidSect="00E26E9F">
      <w:footerReference w:type="default" r:id="rId12"/>
      <w:pgSz w:w="11906" w:h="16838"/>
      <w:pgMar w:top="709" w:right="141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0406D" w14:textId="77777777" w:rsidR="00150F21" w:rsidRDefault="00150F21" w:rsidP="0009480D">
      <w:pPr>
        <w:spacing w:after="0" w:line="240" w:lineRule="auto"/>
      </w:pPr>
      <w:r>
        <w:separator/>
      </w:r>
    </w:p>
  </w:endnote>
  <w:endnote w:type="continuationSeparator" w:id="0">
    <w:p w14:paraId="40D0F288" w14:textId="77777777" w:rsidR="00150F21" w:rsidRDefault="00150F21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1EE7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C8F19" w14:textId="77777777" w:rsidR="00150F21" w:rsidRDefault="00150F21" w:rsidP="0009480D">
      <w:pPr>
        <w:spacing w:after="0" w:line="240" w:lineRule="auto"/>
      </w:pPr>
      <w:r>
        <w:separator/>
      </w:r>
    </w:p>
  </w:footnote>
  <w:footnote w:type="continuationSeparator" w:id="0">
    <w:p w14:paraId="325865C2" w14:textId="77777777" w:rsidR="00150F21" w:rsidRDefault="00150F21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F78"/>
    <w:multiLevelType w:val="hybridMultilevel"/>
    <w:tmpl w:val="44B0A104"/>
    <w:lvl w:ilvl="0" w:tplc="7550F6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157F"/>
    <w:multiLevelType w:val="hybridMultilevel"/>
    <w:tmpl w:val="A7F03FC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0500359"/>
    <w:multiLevelType w:val="hybridMultilevel"/>
    <w:tmpl w:val="38045A78"/>
    <w:lvl w:ilvl="0" w:tplc="041B000F">
      <w:start w:val="1"/>
      <w:numFmt w:val="decimal"/>
      <w:lvlText w:val="%1."/>
      <w:lvlJc w:val="left"/>
      <w:pPr>
        <w:ind w:left="2508" w:hanging="360"/>
      </w:pPr>
    </w:lvl>
    <w:lvl w:ilvl="1" w:tplc="041B0019">
      <w:start w:val="1"/>
      <w:numFmt w:val="lowerLetter"/>
      <w:lvlText w:val="%2."/>
      <w:lvlJc w:val="left"/>
      <w:pPr>
        <w:ind w:left="3228" w:hanging="360"/>
      </w:pPr>
    </w:lvl>
    <w:lvl w:ilvl="2" w:tplc="041B001B" w:tentative="1">
      <w:start w:val="1"/>
      <w:numFmt w:val="lowerRoman"/>
      <w:lvlText w:val="%3."/>
      <w:lvlJc w:val="right"/>
      <w:pPr>
        <w:ind w:left="3948" w:hanging="180"/>
      </w:pPr>
    </w:lvl>
    <w:lvl w:ilvl="3" w:tplc="041B000F" w:tentative="1">
      <w:start w:val="1"/>
      <w:numFmt w:val="decimal"/>
      <w:lvlText w:val="%4."/>
      <w:lvlJc w:val="left"/>
      <w:pPr>
        <w:ind w:left="4668" w:hanging="360"/>
      </w:pPr>
    </w:lvl>
    <w:lvl w:ilvl="4" w:tplc="041B0019" w:tentative="1">
      <w:start w:val="1"/>
      <w:numFmt w:val="lowerLetter"/>
      <w:lvlText w:val="%5."/>
      <w:lvlJc w:val="left"/>
      <w:pPr>
        <w:ind w:left="5388" w:hanging="360"/>
      </w:pPr>
    </w:lvl>
    <w:lvl w:ilvl="5" w:tplc="041B001B" w:tentative="1">
      <w:start w:val="1"/>
      <w:numFmt w:val="lowerRoman"/>
      <w:lvlText w:val="%6."/>
      <w:lvlJc w:val="right"/>
      <w:pPr>
        <w:ind w:left="6108" w:hanging="180"/>
      </w:pPr>
    </w:lvl>
    <w:lvl w:ilvl="6" w:tplc="041B000F" w:tentative="1">
      <w:start w:val="1"/>
      <w:numFmt w:val="decimal"/>
      <w:lvlText w:val="%7."/>
      <w:lvlJc w:val="left"/>
      <w:pPr>
        <w:ind w:left="6828" w:hanging="360"/>
      </w:pPr>
    </w:lvl>
    <w:lvl w:ilvl="7" w:tplc="041B0019" w:tentative="1">
      <w:start w:val="1"/>
      <w:numFmt w:val="lowerLetter"/>
      <w:lvlText w:val="%8."/>
      <w:lvlJc w:val="left"/>
      <w:pPr>
        <w:ind w:left="7548" w:hanging="360"/>
      </w:pPr>
    </w:lvl>
    <w:lvl w:ilvl="8" w:tplc="041B001B" w:tentative="1">
      <w:start w:val="1"/>
      <w:numFmt w:val="lowerRoman"/>
      <w:lvlText w:val="%9."/>
      <w:lvlJc w:val="right"/>
      <w:pPr>
        <w:ind w:left="8268" w:hanging="180"/>
      </w:pPr>
    </w:lvl>
  </w:abstractNum>
  <w:num w:numId="1" w16cid:durableId="41371725">
    <w:abstractNumId w:val="2"/>
  </w:num>
  <w:num w:numId="2" w16cid:durableId="217783893">
    <w:abstractNumId w:val="1"/>
  </w:num>
  <w:num w:numId="3" w16cid:durableId="133217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EF"/>
    <w:rsid w:val="00012CF2"/>
    <w:rsid w:val="0009480D"/>
    <w:rsid w:val="000D11AA"/>
    <w:rsid w:val="000F4BE6"/>
    <w:rsid w:val="00130860"/>
    <w:rsid w:val="00150F21"/>
    <w:rsid w:val="001554B1"/>
    <w:rsid w:val="001663B6"/>
    <w:rsid w:val="00173EC2"/>
    <w:rsid w:val="00195869"/>
    <w:rsid w:val="001A694C"/>
    <w:rsid w:val="001B586A"/>
    <w:rsid w:val="001D01FE"/>
    <w:rsid w:val="001D5F9F"/>
    <w:rsid w:val="00225679"/>
    <w:rsid w:val="0024047C"/>
    <w:rsid w:val="00266961"/>
    <w:rsid w:val="002B4CD0"/>
    <w:rsid w:val="002E6498"/>
    <w:rsid w:val="003636B5"/>
    <w:rsid w:val="00392F01"/>
    <w:rsid w:val="004100B0"/>
    <w:rsid w:val="00445B18"/>
    <w:rsid w:val="004D7E2D"/>
    <w:rsid w:val="00517991"/>
    <w:rsid w:val="005316F2"/>
    <w:rsid w:val="005558AE"/>
    <w:rsid w:val="00564381"/>
    <w:rsid w:val="005939CC"/>
    <w:rsid w:val="005A1CD3"/>
    <w:rsid w:val="00633B9E"/>
    <w:rsid w:val="006470E3"/>
    <w:rsid w:val="00782367"/>
    <w:rsid w:val="00787300"/>
    <w:rsid w:val="008615C2"/>
    <w:rsid w:val="0091546E"/>
    <w:rsid w:val="009841D6"/>
    <w:rsid w:val="009A6FA0"/>
    <w:rsid w:val="00A11695"/>
    <w:rsid w:val="00A719D6"/>
    <w:rsid w:val="00A84808"/>
    <w:rsid w:val="00AF41FA"/>
    <w:rsid w:val="00B31C02"/>
    <w:rsid w:val="00B42F36"/>
    <w:rsid w:val="00BA4BE5"/>
    <w:rsid w:val="00C11995"/>
    <w:rsid w:val="00C25193"/>
    <w:rsid w:val="00C35E8A"/>
    <w:rsid w:val="00C640FF"/>
    <w:rsid w:val="00CA5BEF"/>
    <w:rsid w:val="00CB7C08"/>
    <w:rsid w:val="00D47689"/>
    <w:rsid w:val="00D835BB"/>
    <w:rsid w:val="00D859F6"/>
    <w:rsid w:val="00E008DE"/>
    <w:rsid w:val="00E24EDB"/>
    <w:rsid w:val="00E26E9F"/>
    <w:rsid w:val="00F11F73"/>
    <w:rsid w:val="00F2585F"/>
    <w:rsid w:val="00F260FA"/>
    <w:rsid w:val="00F354E1"/>
    <w:rsid w:val="00F53F77"/>
    <w:rsid w:val="00F86861"/>
    <w:rsid w:val="00FA1225"/>
    <w:rsid w:val="00FC7F83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55BBBEE"/>
  <w15:chartTrackingRefBased/>
  <w15:docId w15:val="{A763D388-EBA5-4EBE-B0CB-6C5825BE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character" w:styleId="Hyperlink">
    <w:name w:val="Hyperlink"/>
    <w:basedOn w:val="DefaultParagraphFont"/>
    <w:uiPriority w:val="99"/>
    <w:unhideWhenUsed/>
    <w:rsid w:val="00CA5B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5BE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F86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86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8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861"/>
    <w:rPr>
      <w:b/>
      <w:bCs/>
    </w:rPr>
  </w:style>
  <w:style w:type="paragraph" w:styleId="Revision">
    <w:name w:val="Revision"/>
    <w:hidden/>
    <w:uiPriority w:val="99"/>
    <w:semiHidden/>
    <w:rsid w:val="002E6498"/>
    <w:pPr>
      <w:spacing w:after="0" w:line="240" w:lineRule="auto"/>
    </w:pPr>
    <w:rPr>
      <w:sz w:val="22"/>
    </w:rPr>
  </w:style>
  <w:style w:type="paragraph" w:styleId="ListParagraph">
    <w:name w:val="List Paragraph"/>
    <w:basedOn w:val="Normal"/>
    <w:uiPriority w:val="34"/>
    <w:qFormat/>
    <w:rsid w:val="002E6498"/>
    <w:pPr>
      <w:ind w:left="720"/>
      <w:contextualSpacing/>
    </w:pPr>
  </w:style>
  <w:style w:type="table" w:styleId="TableGrid">
    <w:name w:val="Table Grid"/>
    <w:basedOn w:val="TableNormal"/>
    <w:uiPriority w:val="39"/>
    <w:rsid w:val="00E24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4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9/49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bs.sk/dohlad-nad-financnym-trhom/dohlad/platobne-sluzby-a-elektronicke-peniaze1/platobne-institucie-a-aisp1/vykazovacie-a-oznamovacie-povinnosti/" TargetMode="Externa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67B7E-268A-493B-ACB1-F1A56C33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540</Words>
  <Characters>3081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2023-04-12T08:36:00Z</dcterms:created>
  <dcterms:modified xsi:type="dcterms:W3CDTF">2023-04-12T08:51:00Z</dcterms:modified>
</cp:coreProperties>
</file>