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4BEC1" w14:textId="77777777" w:rsidR="00CA5BEF" w:rsidRDefault="00CA5BEF" w:rsidP="00CA5BEF">
      <w:pPr>
        <w:pStyle w:val="Heading1"/>
        <w:jc w:val="center"/>
      </w:pPr>
      <w:r>
        <w:t>Vykazovacie povinnosti AISP</w:t>
      </w:r>
    </w:p>
    <w:p w14:paraId="1236E38F" w14:textId="06B4FFDB" w:rsidR="00CA5BEF" w:rsidRPr="003D68AB" w:rsidRDefault="00CA5BEF" w:rsidP="00CA5BEF">
      <w:pPr>
        <w:pStyle w:val="NormalWeb"/>
        <w:shd w:val="clear" w:color="auto" w:fill="FFFFFF" w:themeFill="background1"/>
        <w:spacing w:after="0"/>
        <w:textAlignment w:val="baseline"/>
        <w:rPr>
          <w:rFonts w:asciiTheme="minorHAnsi" w:hAnsiTheme="minorHAnsi" w:cstheme="minorBidi"/>
          <w:color w:val="000000" w:themeColor="text1"/>
          <w:sz w:val="19"/>
          <w:szCs w:val="19"/>
        </w:rPr>
      </w:pPr>
      <w:r w:rsidRPr="003D68AB">
        <w:rPr>
          <w:rFonts w:asciiTheme="minorHAnsi" w:hAnsiTheme="minorHAnsi" w:cstheme="minorBidi"/>
          <w:color w:val="000000" w:themeColor="text1"/>
          <w:sz w:val="19"/>
          <w:szCs w:val="19"/>
        </w:rPr>
        <w:t>V zmysle zákona č. 747/2004 Z. z. o dohľade nad finančným trhom a o zmene a doplnení niektorých zákonov v znení neskorších predpisov (ďalej len „</w:t>
      </w:r>
      <w:r w:rsidRPr="00AF41FA">
        <w:rPr>
          <w:rFonts w:asciiTheme="minorHAnsi" w:hAnsiTheme="minorHAnsi" w:cstheme="minorBidi"/>
          <w:b/>
          <w:bCs/>
          <w:color w:val="000000" w:themeColor="text1"/>
          <w:sz w:val="19"/>
          <w:szCs w:val="19"/>
        </w:rPr>
        <w:t>Zákon 747/2004</w:t>
      </w:r>
      <w:r w:rsidRPr="003D68AB">
        <w:rPr>
          <w:rFonts w:asciiTheme="minorHAnsi" w:hAnsiTheme="minorHAnsi" w:cstheme="minorBidi"/>
          <w:color w:val="000000" w:themeColor="text1"/>
          <w:sz w:val="19"/>
          <w:szCs w:val="19"/>
        </w:rPr>
        <w:t>“) Národná banka Slovenska v rámci dohľadu nad finančným trhom vykonáva dohľad nad dohliadanými subjektmi</w:t>
      </w:r>
      <w:r w:rsidR="0024047C">
        <w:rPr>
          <w:rFonts w:asciiTheme="minorHAnsi" w:hAnsiTheme="minorHAnsi" w:cstheme="minorBidi"/>
          <w:color w:val="000000" w:themeColor="text1"/>
          <w:sz w:val="19"/>
          <w:szCs w:val="19"/>
        </w:rPr>
        <w:t>,</w:t>
      </w:r>
      <w:r w:rsidRPr="003D68AB">
        <w:rPr>
          <w:rFonts w:asciiTheme="minorHAnsi" w:hAnsiTheme="minorHAnsi" w:cstheme="minorBidi"/>
          <w:color w:val="000000" w:themeColor="text1"/>
          <w:sz w:val="19"/>
          <w:szCs w:val="19"/>
        </w:rPr>
        <w:t xml:space="preserve"> a</w:t>
      </w:r>
      <w:r w:rsidR="0024047C">
        <w:rPr>
          <w:rFonts w:asciiTheme="minorHAnsi" w:hAnsiTheme="minorHAnsi" w:cstheme="minorBidi"/>
          <w:color w:val="000000" w:themeColor="text1"/>
          <w:sz w:val="19"/>
          <w:szCs w:val="19"/>
        </w:rPr>
        <w:t> </w:t>
      </w:r>
      <w:r w:rsidRPr="003D68AB">
        <w:rPr>
          <w:rFonts w:asciiTheme="minorHAnsi" w:hAnsiTheme="minorHAnsi" w:cstheme="minorBidi"/>
          <w:color w:val="000000" w:themeColor="text1"/>
          <w:sz w:val="19"/>
          <w:szCs w:val="19"/>
        </w:rPr>
        <w:t>to</w:t>
      </w:r>
      <w:r w:rsidR="0024047C">
        <w:rPr>
          <w:rFonts w:asciiTheme="minorHAnsi" w:hAnsiTheme="minorHAnsi" w:cstheme="minorBidi"/>
          <w:color w:val="000000" w:themeColor="text1"/>
          <w:sz w:val="19"/>
          <w:szCs w:val="19"/>
        </w:rPr>
        <w:t>,</w:t>
      </w:r>
      <w:r w:rsidRPr="003D68AB">
        <w:rPr>
          <w:rFonts w:asciiTheme="minorHAnsi" w:hAnsiTheme="minorHAnsi" w:cstheme="minorBidi"/>
          <w:color w:val="000000" w:themeColor="text1"/>
          <w:sz w:val="19"/>
          <w:szCs w:val="19"/>
        </w:rPr>
        <w:t xml:space="preserve"> okrem iných</w:t>
      </w:r>
      <w:r w:rsidR="0024047C">
        <w:rPr>
          <w:rFonts w:asciiTheme="minorHAnsi" w:hAnsiTheme="minorHAnsi" w:cstheme="minorBidi"/>
          <w:color w:val="000000" w:themeColor="text1"/>
          <w:sz w:val="19"/>
          <w:szCs w:val="19"/>
        </w:rPr>
        <w:t>,</w:t>
      </w:r>
      <w:r w:rsidRPr="003D68AB">
        <w:rPr>
          <w:rFonts w:asciiTheme="minorHAnsi" w:hAnsiTheme="minorHAnsi" w:cstheme="minorBidi"/>
          <w:color w:val="000000" w:themeColor="text1"/>
          <w:sz w:val="19"/>
          <w:szCs w:val="19"/>
        </w:rPr>
        <w:t xml:space="preserve"> </w:t>
      </w:r>
      <w:r w:rsidR="00A84808">
        <w:rPr>
          <w:rFonts w:asciiTheme="minorHAnsi" w:hAnsiTheme="minorHAnsi" w:cstheme="minorBidi"/>
          <w:color w:val="000000" w:themeColor="text1"/>
          <w:sz w:val="19"/>
          <w:szCs w:val="19"/>
        </w:rPr>
        <w:t xml:space="preserve">aj </w:t>
      </w:r>
      <w:r w:rsidRPr="003D68AB">
        <w:rPr>
          <w:rFonts w:asciiTheme="minorHAnsi" w:hAnsiTheme="minorHAnsi" w:cstheme="minorBidi"/>
          <w:color w:val="000000" w:themeColor="text1"/>
          <w:sz w:val="19"/>
          <w:szCs w:val="19"/>
        </w:rPr>
        <w:t>nad poskytovateľmi služieb informovania o platobnom účte</w:t>
      </w:r>
      <w:r w:rsidR="002E6498">
        <w:rPr>
          <w:rFonts w:asciiTheme="minorHAnsi" w:hAnsiTheme="minorHAnsi" w:cstheme="minorBidi"/>
          <w:color w:val="000000" w:themeColor="text1"/>
          <w:sz w:val="19"/>
          <w:szCs w:val="19"/>
        </w:rPr>
        <w:t xml:space="preserve"> (ďalej aj „AISP“)</w:t>
      </w:r>
      <w:r w:rsidRPr="003D68AB">
        <w:rPr>
          <w:rFonts w:asciiTheme="minorHAnsi" w:hAnsiTheme="minorHAnsi" w:cstheme="minorBidi"/>
          <w:color w:val="000000" w:themeColor="text1"/>
          <w:sz w:val="19"/>
          <w:szCs w:val="19"/>
        </w:rPr>
        <w:t>, ktor</w:t>
      </w:r>
      <w:r w:rsidR="0024047C">
        <w:rPr>
          <w:rFonts w:asciiTheme="minorHAnsi" w:hAnsiTheme="minorHAnsi" w:cstheme="minorBidi"/>
          <w:color w:val="000000" w:themeColor="text1"/>
          <w:sz w:val="19"/>
          <w:szCs w:val="19"/>
        </w:rPr>
        <w:t>í</w:t>
      </w:r>
      <w:r w:rsidRPr="003D68AB">
        <w:rPr>
          <w:rFonts w:asciiTheme="minorHAnsi" w:hAnsiTheme="minorHAnsi" w:cstheme="minorBidi"/>
          <w:color w:val="000000" w:themeColor="text1"/>
          <w:sz w:val="19"/>
          <w:szCs w:val="19"/>
        </w:rPr>
        <w:t xml:space="preserve"> </w:t>
      </w:r>
      <w:r w:rsidR="00A84808">
        <w:rPr>
          <w:rFonts w:asciiTheme="minorHAnsi" w:hAnsiTheme="minorHAnsi" w:cstheme="minorBidi"/>
          <w:color w:val="000000" w:themeColor="text1"/>
          <w:sz w:val="19"/>
          <w:szCs w:val="19"/>
        </w:rPr>
        <w:t>sú</w:t>
      </w:r>
      <w:r w:rsidR="00A84808" w:rsidRPr="003D68AB">
        <w:rPr>
          <w:rFonts w:asciiTheme="minorHAnsi" w:hAnsiTheme="minorHAnsi" w:cstheme="minorBidi"/>
          <w:color w:val="000000" w:themeColor="text1"/>
          <w:sz w:val="19"/>
          <w:szCs w:val="19"/>
        </w:rPr>
        <w:t xml:space="preserve"> povinn</w:t>
      </w:r>
      <w:r w:rsidR="00A84808">
        <w:rPr>
          <w:rFonts w:asciiTheme="minorHAnsi" w:hAnsiTheme="minorHAnsi" w:cstheme="minorBidi"/>
          <w:color w:val="000000" w:themeColor="text1"/>
          <w:sz w:val="19"/>
          <w:szCs w:val="19"/>
        </w:rPr>
        <w:t>í</w:t>
      </w:r>
      <w:r w:rsidR="00A84808" w:rsidRPr="003D68AB">
        <w:rPr>
          <w:rFonts w:asciiTheme="minorHAnsi" w:hAnsiTheme="minorHAnsi" w:cstheme="minorBidi"/>
          <w:color w:val="000000" w:themeColor="text1"/>
          <w:sz w:val="19"/>
          <w:szCs w:val="19"/>
        </w:rPr>
        <w:t xml:space="preserve"> </w:t>
      </w:r>
      <w:r w:rsidRPr="003D68AB">
        <w:rPr>
          <w:rFonts w:asciiTheme="minorHAnsi" w:hAnsiTheme="minorHAnsi" w:cstheme="minorBidi"/>
          <w:color w:val="000000" w:themeColor="text1"/>
          <w:sz w:val="19"/>
          <w:szCs w:val="19"/>
        </w:rPr>
        <w:t xml:space="preserve">riadiť </w:t>
      </w:r>
      <w:r w:rsidR="00A84808">
        <w:rPr>
          <w:rFonts w:asciiTheme="minorHAnsi" w:hAnsiTheme="minorHAnsi" w:cstheme="minorBidi"/>
          <w:color w:val="000000" w:themeColor="text1"/>
          <w:sz w:val="19"/>
          <w:szCs w:val="19"/>
        </w:rPr>
        <w:t xml:space="preserve">sa </w:t>
      </w:r>
      <w:r w:rsidRPr="003D68AB">
        <w:rPr>
          <w:rFonts w:asciiTheme="minorHAnsi" w:hAnsiTheme="minorHAnsi" w:cstheme="minorBidi"/>
          <w:color w:val="000000" w:themeColor="text1"/>
          <w:sz w:val="19"/>
          <w:szCs w:val="19"/>
        </w:rPr>
        <w:t xml:space="preserve">ustanoveniami </w:t>
      </w:r>
      <w:hyperlink r:id="rId8">
        <w:r w:rsidRPr="00AF41FA">
          <w:rPr>
            <w:rStyle w:val="Hyperlink"/>
            <w:rFonts w:ascii="Cambria" w:hAnsi="Cambria"/>
            <w:color w:val="000000" w:themeColor="text1"/>
            <w:sz w:val="18"/>
            <w:szCs w:val="18"/>
            <w:u w:val="none"/>
          </w:rPr>
          <w:t>zákona č. 492/2009 Z. z. o platobných službách a o zmene a doplnení niektorých zákonov v znení neskorších predpisov</w:t>
        </w:r>
      </w:hyperlink>
      <w:r w:rsidRPr="00AF41FA">
        <w:rPr>
          <w:rStyle w:val="Hyperlink"/>
          <w:rFonts w:ascii="Cambria" w:hAnsi="Cambria"/>
          <w:color w:val="000000" w:themeColor="text1"/>
          <w:sz w:val="18"/>
          <w:szCs w:val="18"/>
          <w:u w:val="none"/>
        </w:rPr>
        <w:t xml:space="preserve"> (ďalej len „</w:t>
      </w:r>
      <w:r w:rsidRPr="00AF41FA">
        <w:rPr>
          <w:rStyle w:val="Hyperlink"/>
          <w:rFonts w:ascii="Cambria" w:hAnsi="Cambria"/>
          <w:b/>
          <w:bCs/>
          <w:color w:val="000000" w:themeColor="text1"/>
          <w:sz w:val="18"/>
          <w:szCs w:val="18"/>
          <w:u w:val="none"/>
        </w:rPr>
        <w:t>Zákon 492/2009</w:t>
      </w:r>
      <w:r w:rsidRPr="00AF41FA">
        <w:rPr>
          <w:rStyle w:val="Hyperlink"/>
          <w:rFonts w:ascii="Cambria" w:hAnsi="Cambria"/>
          <w:color w:val="000000" w:themeColor="text1"/>
          <w:sz w:val="18"/>
          <w:szCs w:val="18"/>
          <w:u w:val="none"/>
        </w:rPr>
        <w:t>“)</w:t>
      </w:r>
      <w:r w:rsidRPr="003D68AB">
        <w:rPr>
          <w:rFonts w:asciiTheme="minorHAnsi" w:hAnsiTheme="minorHAnsi" w:cstheme="minorBidi"/>
          <w:color w:val="000000" w:themeColor="text1"/>
          <w:sz w:val="19"/>
          <w:szCs w:val="19"/>
        </w:rPr>
        <w:t xml:space="preserve"> a inou aktuálne platnou právnou úpravou.</w:t>
      </w:r>
    </w:p>
    <w:p w14:paraId="12CBE30D" w14:textId="77777777" w:rsidR="002E6498" w:rsidRPr="007B52E0" w:rsidRDefault="002E6498" w:rsidP="002E6498">
      <w:pPr>
        <w:pStyle w:val="NormalWeb"/>
        <w:shd w:val="clear" w:color="auto" w:fill="FFFFFF" w:themeFill="background1"/>
        <w:textAlignment w:val="baseline"/>
        <w:rPr>
          <w:rFonts w:asciiTheme="minorHAnsi" w:hAnsiTheme="minorHAnsi"/>
          <w:color w:val="000000" w:themeColor="text1"/>
          <w:sz w:val="19"/>
          <w:szCs w:val="19"/>
        </w:rPr>
      </w:pPr>
      <w:r w:rsidRPr="007B52E0">
        <w:rPr>
          <w:rFonts w:asciiTheme="minorHAnsi" w:hAnsiTheme="minorHAnsi"/>
          <w:color w:val="000000" w:themeColor="text1"/>
          <w:sz w:val="19"/>
          <w:szCs w:val="19"/>
        </w:rPr>
        <w:t xml:space="preserve">V nadväznosti na uvedené Národná banka Slovenska na účely dohľadu na diaľku v zmysle § 35 ods. 1 </w:t>
      </w:r>
      <w:r>
        <w:rPr>
          <w:rFonts w:asciiTheme="minorHAnsi" w:hAnsiTheme="minorHAnsi"/>
          <w:color w:val="000000" w:themeColor="text1"/>
          <w:sz w:val="19"/>
          <w:szCs w:val="19"/>
        </w:rPr>
        <w:t>Zákona 747/2004</w:t>
      </w:r>
      <w:r w:rsidRPr="007B52E0">
        <w:rPr>
          <w:rFonts w:asciiTheme="minorHAnsi" w:hAnsiTheme="minorHAnsi"/>
          <w:color w:val="000000" w:themeColor="text1"/>
          <w:sz w:val="19"/>
          <w:szCs w:val="19"/>
        </w:rPr>
        <w:t xml:space="preserve"> žiada </w:t>
      </w:r>
      <w:r w:rsidRPr="00182F97">
        <w:rPr>
          <w:rFonts w:asciiTheme="minorHAnsi" w:hAnsiTheme="minorHAnsi" w:cstheme="minorBidi"/>
          <w:b/>
          <w:bCs/>
          <w:color w:val="000000" w:themeColor="text1"/>
          <w:sz w:val="19"/>
          <w:szCs w:val="19"/>
        </w:rPr>
        <w:t>poskytovateľov služieb informovania o platobnom účte</w:t>
      </w:r>
      <w:r w:rsidRPr="007B52E0">
        <w:rPr>
          <w:rFonts w:asciiTheme="minorHAnsi" w:hAnsiTheme="minorHAnsi"/>
          <w:color w:val="000000" w:themeColor="text1"/>
          <w:sz w:val="19"/>
          <w:szCs w:val="19"/>
        </w:rPr>
        <w:t xml:space="preserve"> o</w:t>
      </w:r>
      <w:r>
        <w:rPr>
          <w:rFonts w:asciiTheme="minorHAnsi" w:hAnsiTheme="minorHAnsi"/>
          <w:color w:val="000000" w:themeColor="text1"/>
          <w:sz w:val="19"/>
          <w:szCs w:val="19"/>
        </w:rPr>
        <w:t xml:space="preserve"> predkladanie </w:t>
      </w:r>
      <w:r w:rsidRPr="007B52E0">
        <w:rPr>
          <w:rFonts w:asciiTheme="minorHAnsi" w:hAnsiTheme="minorHAnsi"/>
          <w:color w:val="000000" w:themeColor="text1"/>
          <w:sz w:val="19"/>
          <w:szCs w:val="19"/>
        </w:rPr>
        <w:t xml:space="preserve">nasledovných </w:t>
      </w:r>
      <w:r>
        <w:rPr>
          <w:rFonts w:asciiTheme="minorHAnsi" w:hAnsiTheme="minorHAnsi"/>
          <w:color w:val="000000" w:themeColor="text1"/>
          <w:sz w:val="19"/>
          <w:szCs w:val="19"/>
        </w:rPr>
        <w:t>dokumentov</w:t>
      </w:r>
      <w:r w:rsidRPr="007B52E0">
        <w:rPr>
          <w:rFonts w:asciiTheme="minorHAnsi" w:hAnsiTheme="minorHAnsi"/>
          <w:color w:val="000000" w:themeColor="text1"/>
          <w:sz w:val="19"/>
          <w:szCs w:val="19"/>
        </w:rPr>
        <w:t>:</w:t>
      </w:r>
    </w:p>
    <w:p w14:paraId="696A9F8F" w14:textId="0ABDCC63" w:rsidR="002E6498" w:rsidRDefault="00A84808" w:rsidP="002E6498">
      <w:pPr>
        <w:pStyle w:val="NormalWeb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ind w:left="425" w:hanging="357"/>
        <w:textAlignment w:val="baseline"/>
        <w:rPr>
          <w:rFonts w:asciiTheme="minorHAnsi" w:hAnsiTheme="minorHAnsi" w:cstheme="minorBidi"/>
          <w:color w:val="000000" w:themeColor="text1"/>
          <w:sz w:val="19"/>
          <w:szCs w:val="19"/>
        </w:rPr>
      </w:pPr>
      <w:r>
        <w:rPr>
          <w:rFonts w:asciiTheme="minorHAnsi" w:hAnsiTheme="minorHAnsi" w:cstheme="minorBidi"/>
          <w:color w:val="000000" w:themeColor="text1"/>
          <w:sz w:val="19"/>
          <w:szCs w:val="19"/>
        </w:rPr>
        <w:t>V</w:t>
      </w:r>
      <w:r w:rsidR="00CA5BEF" w:rsidRPr="002E6498">
        <w:rPr>
          <w:rFonts w:asciiTheme="minorHAnsi" w:hAnsiTheme="minorHAnsi" w:cstheme="minorBidi"/>
          <w:color w:val="000000" w:themeColor="text1"/>
          <w:sz w:val="19"/>
          <w:szCs w:val="19"/>
        </w:rPr>
        <w:t>ýkazy</w:t>
      </w:r>
      <w:r w:rsidR="0024047C">
        <w:rPr>
          <w:rFonts w:asciiTheme="minorHAnsi" w:hAnsiTheme="minorHAnsi" w:cstheme="minorBidi"/>
          <w:color w:val="000000" w:themeColor="text1"/>
          <w:sz w:val="19"/>
          <w:szCs w:val="19"/>
        </w:rPr>
        <w:t>,</w:t>
      </w:r>
      <w:r w:rsidR="00CA5BEF" w:rsidRPr="002E6498">
        <w:rPr>
          <w:rFonts w:asciiTheme="minorHAnsi" w:hAnsiTheme="minorHAnsi" w:cstheme="minorBidi"/>
          <w:color w:val="000000" w:themeColor="text1"/>
          <w:sz w:val="19"/>
          <w:szCs w:val="19"/>
        </w:rPr>
        <w:t xml:space="preserve"> a to Bilanciu aktív a pasív, Výkaz ziskov a strát pravidelne mesačne do 25 kalendárnych dní odo dňa, ku ktorému sa vypracúvajú a to elektronicky prostredníctvom </w:t>
      </w:r>
      <w:r w:rsidR="002E6498" w:rsidRPr="007B52E0">
        <w:rPr>
          <w:rFonts w:asciiTheme="minorHAnsi" w:hAnsiTheme="minorHAnsi" w:cstheme="minorBidi"/>
          <w:color w:val="000000" w:themeColor="text1"/>
          <w:sz w:val="19"/>
          <w:szCs w:val="19"/>
        </w:rPr>
        <w:t xml:space="preserve">informačného systému Štatistický zberový portál (ďalej len „IS ŠZP“). </w:t>
      </w:r>
    </w:p>
    <w:p w14:paraId="3A78211E" w14:textId="3D394435" w:rsidR="002E6498" w:rsidRDefault="00A84808" w:rsidP="002E6498">
      <w:pPr>
        <w:pStyle w:val="NormalWeb"/>
        <w:shd w:val="clear" w:color="auto" w:fill="FFFFFF" w:themeFill="background1"/>
        <w:spacing w:before="0" w:beforeAutospacing="0" w:after="0" w:afterAutospacing="0"/>
        <w:ind w:left="425"/>
        <w:textAlignment w:val="baseline"/>
        <w:rPr>
          <w:rFonts w:asciiTheme="minorHAnsi" w:hAnsiTheme="minorHAnsi" w:cstheme="minorBidi"/>
          <w:color w:val="000000" w:themeColor="text1"/>
          <w:sz w:val="19"/>
          <w:szCs w:val="19"/>
        </w:rPr>
      </w:pPr>
      <w:r>
        <w:rPr>
          <w:rFonts w:asciiTheme="minorHAnsi" w:hAnsiTheme="minorHAnsi" w:cstheme="minorBidi"/>
          <w:color w:val="000000" w:themeColor="text1"/>
          <w:sz w:val="19"/>
          <w:szCs w:val="19"/>
        </w:rPr>
        <w:t>V</w:t>
      </w:r>
      <w:r w:rsidR="002E6498" w:rsidRPr="007B52E0">
        <w:rPr>
          <w:rFonts w:asciiTheme="minorHAnsi" w:hAnsiTheme="minorHAnsi" w:cstheme="minorBidi"/>
          <w:color w:val="000000" w:themeColor="text1"/>
          <w:sz w:val="19"/>
          <w:szCs w:val="19"/>
        </w:rPr>
        <w:t>ýkazy sa vypracúvajú podľa stavu k poslednému dňu príslušného kalendárneho mesiaca</w:t>
      </w:r>
      <w:r>
        <w:rPr>
          <w:rFonts w:asciiTheme="minorHAnsi" w:hAnsiTheme="minorHAnsi" w:cstheme="minorBidi"/>
          <w:color w:val="000000" w:themeColor="text1"/>
          <w:sz w:val="19"/>
          <w:szCs w:val="19"/>
        </w:rPr>
        <w:t xml:space="preserve">, </w:t>
      </w:r>
      <w:r w:rsidR="002E6498" w:rsidRPr="007B52E0">
        <w:rPr>
          <w:rFonts w:asciiTheme="minorHAnsi" w:hAnsiTheme="minorHAnsi" w:cstheme="minorBidi"/>
          <w:color w:val="000000" w:themeColor="text1"/>
          <w:sz w:val="19"/>
          <w:szCs w:val="19"/>
        </w:rPr>
        <w:t xml:space="preserve">vo forme ako sú uvedené v </w:t>
      </w:r>
      <w:r w:rsidR="002E6498" w:rsidRPr="003D68AB">
        <w:rPr>
          <w:rFonts w:asciiTheme="minorHAnsi" w:hAnsiTheme="minorHAnsi" w:cstheme="minorBidi"/>
          <w:color w:val="000000" w:themeColor="text1"/>
          <w:sz w:val="19"/>
          <w:szCs w:val="19"/>
        </w:rPr>
        <w:t>Opatren</w:t>
      </w:r>
      <w:r w:rsidR="002E6498">
        <w:rPr>
          <w:rFonts w:asciiTheme="minorHAnsi" w:hAnsiTheme="minorHAnsi" w:cstheme="minorBidi"/>
          <w:color w:val="000000" w:themeColor="text1"/>
          <w:sz w:val="19"/>
          <w:szCs w:val="19"/>
        </w:rPr>
        <w:t>í</w:t>
      </w:r>
      <w:r w:rsidR="002E6498" w:rsidRPr="003D68AB">
        <w:rPr>
          <w:rFonts w:asciiTheme="minorHAnsi" w:hAnsiTheme="minorHAnsi" w:cstheme="minorBidi"/>
          <w:color w:val="000000" w:themeColor="text1"/>
          <w:sz w:val="19"/>
          <w:szCs w:val="19"/>
        </w:rPr>
        <w:t xml:space="preserve"> Národnej banky Slovenska č. 8/2019 o predkladaní výkazov platobnými inštitúciami, pobočkami zahraničných platobných inštitúcií, inštitúciami elektronických peňazí a pobočkami zahraničných inštitúcií elektronických peňazí </w:t>
      </w:r>
      <w:r w:rsidR="002E6498">
        <w:rPr>
          <w:rFonts w:asciiTheme="minorHAnsi" w:hAnsiTheme="minorHAnsi" w:cstheme="minorBidi"/>
          <w:color w:val="000000" w:themeColor="text1"/>
          <w:sz w:val="19"/>
          <w:szCs w:val="19"/>
        </w:rPr>
        <w:t>v platnom znení.</w:t>
      </w:r>
    </w:p>
    <w:p w14:paraId="54B21B66" w14:textId="77777777" w:rsidR="002E6498" w:rsidRDefault="002E6498" w:rsidP="002E6498">
      <w:pPr>
        <w:pStyle w:val="NormalWeb"/>
        <w:shd w:val="clear" w:color="auto" w:fill="FFFFFF" w:themeFill="background1"/>
        <w:spacing w:before="0" w:beforeAutospacing="0" w:after="0" w:afterAutospacing="0"/>
        <w:ind w:left="425"/>
        <w:textAlignment w:val="baseline"/>
        <w:rPr>
          <w:rFonts w:asciiTheme="minorHAnsi" w:hAnsiTheme="minorHAnsi" w:cstheme="minorBidi"/>
          <w:color w:val="000000" w:themeColor="text1"/>
          <w:sz w:val="19"/>
          <w:szCs w:val="19"/>
        </w:rPr>
      </w:pPr>
    </w:p>
    <w:p w14:paraId="749C6865" w14:textId="1880AB94" w:rsidR="002E6498" w:rsidRDefault="002E6498" w:rsidP="002E6498">
      <w:pPr>
        <w:pStyle w:val="NormalWeb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ind w:left="425" w:hanging="357"/>
        <w:textAlignment w:val="baseline"/>
        <w:rPr>
          <w:rFonts w:asciiTheme="minorHAnsi" w:hAnsiTheme="minorHAnsi" w:cstheme="minorBidi"/>
          <w:color w:val="000000" w:themeColor="text1"/>
          <w:sz w:val="19"/>
          <w:szCs w:val="19"/>
        </w:rPr>
      </w:pPr>
      <w:r w:rsidRPr="00AF41FA">
        <w:rPr>
          <w:rFonts w:asciiTheme="minorHAnsi" w:hAnsiTheme="minorHAnsi"/>
          <w:color w:val="000000" w:themeColor="text1"/>
          <w:sz w:val="19"/>
          <w:szCs w:val="19"/>
        </w:rPr>
        <w:t>Informáciu, ktorý audítor bol poverený overením účtovnej závierky spoločnosti</w:t>
      </w:r>
      <w:r w:rsidR="0024047C">
        <w:rPr>
          <w:rFonts w:asciiTheme="minorHAnsi" w:hAnsiTheme="minorHAnsi"/>
          <w:color w:val="000000" w:themeColor="text1"/>
          <w:sz w:val="19"/>
          <w:szCs w:val="19"/>
        </w:rPr>
        <w:t>,</w:t>
      </w:r>
      <w:r w:rsidRPr="00AF41FA">
        <w:rPr>
          <w:rFonts w:asciiTheme="minorHAnsi" w:hAnsiTheme="minorHAnsi"/>
          <w:color w:val="000000" w:themeColor="text1"/>
          <w:sz w:val="19"/>
          <w:szCs w:val="19"/>
        </w:rPr>
        <w:t xml:space="preserve"> a to do 30. júna kalendárneho roka alebo do polovice účtovného obdobia, za ktoré sa má audit vykonať</w:t>
      </w:r>
      <w:r>
        <w:rPr>
          <w:rFonts w:asciiTheme="minorHAnsi" w:hAnsiTheme="minorHAnsi" w:cstheme="minorBidi"/>
          <w:color w:val="000000" w:themeColor="text1"/>
          <w:sz w:val="19"/>
          <w:szCs w:val="19"/>
        </w:rPr>
        <w:t>.</w:t>
      </w:r>
    </w:p>
    <w:p w14:paraId="79B9EC58" w14:textId="77777777" w:rsidR="002E6498" w:rsidRDefault="002E6498" w:rsidP="00AF41FA">
      <w:pPr>
        <w:pStyle w:val="NormalWeb"/>
        <w:shd w:val="clear" w:color="auto" w:fill="FFFFFF" w:themeFill="background1"/>
        <w:spacing w:before="0" w:beforeAutospacing="0" w:after="0" w:afterAutospacing="0"/>
        <w:ind w:left="425"/>
        <w:textAlignment w:val="baseline"/>
        <w:rPr>
          <w:rFonts w:asciiTheme="minorHAnsi" w:hAnsiTheme="minorHAnsi" w:cstheme="minorBidi"/>
          <w:color w:val="000000" w:themeColor="text1"/>
          <w:sz w:val="19"/>
          <w:szCs w:val="19"/>
        </w:rPr>
      </w:pPr>
    </w:p>
    <w:p w14:paraId="0A71DDD4" w14:textId="0ACA5B75" w:rsidR="002E6498" w:rsidRPr="002E6498" w:rsidRDefault="002E6498" w:rsidP="00AF41FA">
      <w:pPr>
        <w:pStyle w:val="NormalWeb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ind w:left="425" w:hanging="357"/>
        <w:textAlignment w:val="baseline"/>
        <w:rPr>
          <w:rFonts w:asciiTheme="minorHAnsi" w:hAnsiTheme="minorHAnsi" w:cstheme="minorBidi"/>
          <w:color w:val="000000" w:themeColor="text1"/>
          <w:sz w:val="19"/>
          <w:szCs w:val="19"/>
        </w:rPr>
      </w:pPr>
      <w:r>
        <w:rPr>
          <w:rFonts w:asciiTheme="minorHAnsi" w:hAnsiTheme="minorHAnsi" w:cstheme="minorBidi"/>
          <w:color w:val="000000" w:themeColor="text1"/>
          <w:sz w:val="19"/>
          <w:szCs w:val="19"/>
        </w:rPr>
        <w:t>L</w:t>
      </w:r>
      <w:r w:rsidR="00CA5BEF" w:rsidRPr="003D68AB">
        <w:rPr>
          <w:rFonts w:asciiTheme="minorHAnsi" w:hAnsiTheme="minorHAnsi" w:cstheme="minorBidi"/>
          <w:color w:val="000000" w:themeColor="text1"/>
          <w:sz w:val="19"/>
          <w:szCs w:val="19"/>
        </w:rPr>
        <w:t>ist odporúčaní audítora vedeniu spoločnosti</w:t>
      </w:r>
      <w:r w:rsidR="0024047C">
        <w:rPr>
          <w:rFonts w:asciiTheme="minorHAnsi" w:hAnsiTheme="minorHAnsi" w:cstheme="minorBidi"/>
          <w:color w:val="000000" w:themeColor="text1"/>
          <w:sz w:val="19"/>
          <w:szCs w:val="19"/>
        </w:rPr>
        <w:t>,</w:t>
      </w:r>
      <w:r w:rsidR="00CA5BEF" w:rsidRPr="003D68AB">
        <w:rPr>
          <w:rFonts w:asciiTheme="minorHAnsi" w:hAnsiTheme="minorHAnsi" w:cstheme="minorBidi"/>
          <w:color w:val="000000" w:themeColor="text1"/>
          <w:sz w:val="19"/>
          <w:szCs w:val="19"/>
        </w:rPr>
        <w:t xml:space="preserve"> a to do šiestich mesiacov odo dňa skončenia obdobia, za ktoré bol audit vykonaný. V prípade, že list odporúčaní audítor nevydal, žiadame predmetnú informáciu taktiež predložiť do šiestich mesiacov odo dňa skončenia obdobia, za ktoré bol audit vykonaný.</w:t>
      </w:r>
    </w:p>
    <w:p w14:paraId="50F23B4E" w14:textId="77777777" w:rsidR="002E6498" w:rsidRDefault="002E6498" w:rsidP="00AF41FA">
      <w:pPr>
        <w:pStyle w:val="NormalWeb"/>
        <w:shd w:val="clear" w:color="auto" w:fill="FFFFFF" w:themeFill="background1"/>
        <w:spacing w:before="0" w:beforeAutospacing="0" w:after="0" w:afterAutospacing="0"/>
        <w:ind w:left="425"/>
        <w:textAlignment w:val="baseline"/>
        <w:rPr>
          <w:rFonts w:asciiTheme="minorHAnsi" w:hAnsiTheme="minorHAnsi" w:cstheme="minorBidi"/>
          <w:color w:val="000000" w:themeColor="text1"/>
          <w:sz w:val="19"/>
          <w:szCs w:val="19"/>
        </w:rPr>
      </w:pPr>
    </w:p>
    <w:p w14:paraId="21D27B83" w14:textId="0F020265" w:rsidR="00CA5BEF" w:rsidRDefault="002E6498" w:rsidP="00E26E9F">
      <w:pPr>
        <w:pStyle w:val="NormalWeb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ind w:left="425" w:hanging="357"/>
        <w:textAlignment w:val="baseline"/>
        <w:rPr>
          <w:rFonts w:asciiTheme="minorHAnsi" w:hAnsiTheme="minorHAnsi" w:cstheme="minorBidi"/>
          <w:color w:val="000000" w:themeColor="text1"/>
          <w:sz w:val="19"/>
          <w:szCs w:val="19"/>
        </w:rPr>
      </w:pPr>
      <w:r>
        <w:rPr>
          <w:rFonts w:asciiTheme="minorHAnsi" w:hAnsiTheme="minorHAnsi" w:cstheme="minorBidi"/>
          <w:color w:val="000000" w:themeColor="text1"/>
          <w:sz w:val="19"/>
          <w:szCs w:val="19"/>
        </w:rPr>
        <w:t>Z</w:t>
      </w:r>
      <w:r w:rsidR="00CA5BEF" w:rsidRPr="003D68AB">
        <w:rPr>
          <w:rFonts w:asciiTheme="minorHAnsi" w:hAnsiTheme="minorHAnsi" w:cstheme="minorBidi"/>
          <w:color w:val="000000" w:themeColor="text1"/>
          <w:sz w:val="19"/>
          <w:szCs w:val="19"/>
        </w:rPr>
        <w:t xml:space="preserve">mluvy o poistení zodpovednosti za škodu to po pred uplynutím platnosti aktuálne uzatvorenej a to s ktorou poisťovňou plánuje spoločnosť predmetnú zmluvu uzatvoriť, na aké obdobie, s akou poistnou sumou a poistným. Zároveň žiadame predložiť novo uzatvorenú zmluvu o poistení zodpovednosti za škodu na ďalšie obdobie. </w:t>
      </w:r>
    </w:p>
    <w:p w14:paraId="07C10935" w14:textId="77777777" w:rsidR="002E6498" w:rsidRDefault="002E6498" w:rsidP="00AF41FA">
      <w:pPr>
        <w:pStyle w:val="NormalWeb"/>
        <w:shd w:val="clear" w:color="auto" w:fill="FFFFFF" w:themeFill="background1"/>
        <w:spacing w:before="0" w:beforeAutospacing="0" w:after="0" w:afterAutospacing="0"/>
        <w:textAlignment w:val="baseline"/>
        <w:rPr>
          <w:rFonts w:asciiTheme="minorHAnsi" w:hAnsiTheme="minorHAnsi" w:cstheme="minorBidi"/>
          <w:color w:val="000000" w:themeColor="text1"/>
          <w:sz w:val="19"/>
          <w:szCs w:val="19"/>
        </w:rPr>
      </w:pPr>
    </w:p>
    <w:p w14:paraId="5B4A5703" w14:textId="7760FA05" w:rsidR="00E24EDB" w:rsidRDefault="002E6498" w:rsidP="00F53F77">
      <w:pPr>
        <w:pStyle w:val="NormalWeb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ind w:left="425" w:hanging="357"/>
        <w:textAlignment w:val="baseline"/>
        <w:rPr>
          <w:rFonts w:asciiTheme="minorHAnsi" w:hAnsiTheme="minorHAnsi" w:cstheme="minorBidi"/>
          <w:color w:val="000000" w:themeColor="text1"/>
          <w:sz w:val="19"/>
          <w:szCs w:val="19"/>
        </w:rPr>
      </w:pPr>
      <w:r>
        <w:rPr>
          <w:rFonts w:asciiTheme="minorHAnsi" w:hAnsiTheme="minorHAnsi" w:cstheme="minorBidi"/>
          <w:color w:val="000000" w:themeColor="text1"/>
          <w:sz w:val="19"/>
          <w:szCs w:val="19"/>
        </w:rPr>
        <w:t>P</w:t>
      </w:r>
      <w:r w:rsidR="00D835BB" w:rsidRPr="00633B9E">
        <w:rPr>
          <w:rFonts w:asciiTheme="minorHAnsi" w:hAnsiTheme="minorHAnsi" w:cstheme="minorBidi"/>
          <w:color w:val="000000" w:themeColor="text1"/>
          <w:sz w:val="19"/>
          <w:szCs w:val="19"/>
        </w:rPr>
        <w:t>ravidelne mesačne vždy k 25. dňu v mesiaci a to elektronicky na dohladplatobnesluzby@nbs.sk nasledovné informácie</w:t>
      </w:r>
      <w:r w:rsidR="00F53F77">
        <w:rPr>
          <w:rFonts w:asciiTheme="minorHAnsi" w:hAnsiTheme="minorHAnsi" w:cstheme="minorBidi"/>
          <w:color w:val="000000" w:themeColor="text1"/>
          <w:sz w:val="19"/>
          <w:szCs w:val="19"/>
        </w:rPr>
        <w:t xml:space="preserve"> o </w:t>
      </w:r>
      <w:r w:rsidR="00D835BB" w:rsidRPr="00633B9E">
        <w:rPr>
          <w:rFonts w:asciiTheme="minorHAnsi" w:hAnsiTheme="minorHAnsi" w:cstheme="minorBidi"/>
          <w:color w:val="000000" w:themeColor="text1"/>
          <w:sz w:val="19"/>
          <w:szCs w:val="19"/>
        </w:rPr>
        <w:t>počt</w:t>
      </w:r>
      <w:r w:rsidR="00F53F77">
        <w:rPr>
          <w:rFonts w:asciiTheme="minorHAnsi" w:hAnsiTheme="minorHAnsi" w:cstheme="minorBidi"/>
          <w:color w:val="000000" w:themeColor="text1"/>
          <w:sz w:val="19"/>
          <w:szCs w:val="19"/>
        </w:rPr>
        <w:t>e</w:t>
      </w:r>
      <w:r w:rsidR="00D835BB" w:rsidRPr="00633B9E">
        <w:rPr>
          <w:rFonts w:asciiTheme="minorHAnsi" w:hAnsiTheme="minorHAnsi" w:cstheme="minorBidi"/>
          <w:color w:val="000000" w:themeColor="text1"/>
          <w:sz w:val="19"/>
          <w:szCs w:val="19"/>
        </w:rPr>
        <w:t xml:space="preserve"> </w:t>
      </w:r>
      <w:r w:rsidR="00633B9E" w:rsidRPr="00633B9E">
        <w:rPr>
          <w:rFonts w:asciiTheme="minorHAnsi" w:hAnsiTheme="minorHAnsi" w:cstheme="minorBidi"/>
          <w:color w:val="000000" w:themeColor="text1"/>
          <w:sz w:val="19"/>
          <w:szCs w:val="19"/>
        </w:rPr>
        <w:t>volaní</w:t>
      </w:r>
      <w:r w:rsidR="00D835BB" w:rsidRPr="00633B9E">
        <w:rPr>
          <w:rFonts w:asciiTheme="minorHAnsi" w:hAnsiTheme="minorHAnsi" w:cstheme="minorBidi"/>
          <w:color w:val="000000" w:themeColor="text1"/>
          <w:sz w:val="19"/>
          <w:szCs w:val="19"/>
        </w:rPr>
        <w:t xml:space="preserve"> </w:t>
      </w:r>
      <w:r w:rsidR="00F53F77">
        <w:rPr>
          <w:rFonts w:asciiTheme="minorHAnsi" w:hAnsiTheme="minorHAnsi" w:cstheme="minorBidi"/>
          <w:color w:val="000000" w:themeColor="text1"/>
          <w:sz w:val="19"/>
          <w:szCs w:val="19"/>
        </w:rPr>
        <w:t>resp.</w:t>
      </w:r>
      <w:r w:rsidR="00D835BB" w:rsidRPr="00633B9E">
        <w:rPr>
          <w:rFonts w:asciiTheme="minorHAnsi" w:hAnsiTheme="minorHAnsi" w:cstheme="minorBidi"/>
          <w:color w:val="000000" w:themeColor="text1"/>
          <w:sz w:val="19"/>
          <w:szCs w:val="19"/>
        </w:rPr>
        <w:t xml:space="preserve"> o</w:t>
      </w:r>
      <w:r w:rsidR="00C11995">
        <w:rPr>
          <w:rFonts w:asciiTheme="minorHAnsi" w:hAnsiTheme="minorHAnsi" w:cstheme="minorBidi"/>
          <w:color w:val="000000" w:themeColor="text1"/>
          <w:sz w:val="19"/>
          <w:szCs w:val="19"/>
        </w:rPr>
        <w:t> </w:t>
      </w:r>
      <w:r w:rsidR="00D835BB" w:rsidRPr="00633B9E">
        <w:rPr>
          <w:rFonts w:asciiTheme="minorHAnsi" w:hAnsiTheme="minorHAnsi" w:cstheme="minorBidi"/>
          <w:color w:val="000000" w:themeColor="text1"/>
          <w:sz w:val="19"/>
          <w:szCs w:val="19"/>
        </w:rPr>
        <w:t>počte</w:t>
      </w:r>
      <w:r w:rsidR="00C11995">
        <w:rPr>
          <w:rFonts w:asciiTheme="minorHAnsi" w:hAnsiTheme="minorHAnsi" w:cstheme="minorBidi"/>
          <w:color w:val="000000" w:themeColor="text1"/>
          <w:sz w:val="19"/>
          <w:szCs w:val="19"/>
        </w:rPr>
        <w:t xml:space="preserve"> žiadostí adresovaných na API</w:t>
      </w:r>
      <w:r w:rsidR="00D835BB" w:rsidRPr="00633B9E">
        <w:rPr>
          <w:rFonts w:asciiTheme="minorHAnsi" w:hAnsiTheme="minorHAnsi" w:cstheme="minorBidi"/>
          <w:color w:val="000000" w:themeColor="text1"/>
          <w:sz w:val="19"/>
          <w:szCs w:val="19"/>
        </w:rPr>
        <w:t xml:space="preserve"> </w:t>
      </w:r>
      <w:r w:rsidR="00F354E1">
        <w:rPr>
          <w:rFonts w:asciiTheme="minorHAnsi" w:hAnsiTheme="minorHAnsi" w:cstheme="minorBidi"/>
          <w:color w:val="000000" w:themeColor="text1"/>
          <w:sz w:val="19"/>
          <w:szCs w:val="19"/>
        </w:rPr>
        <w:t>poskytovateľo</w:t>
      </w:r>
      <w:r w:rsidR="00C11995">
        <w:rPr>
          <w:rFonts w:asciiTheme="minorHAnsi" w:hAnsiTheme="minorHAnsi" w:cstheme="minorBidi"/>
          <w:color w:val="000000" w:themeColor="text1"/>
          <w:sz w:val="19"/>
          <w:szCs w:val="19"/>
        </w:rPr>
        <w:t>v</w:t>
      </w:r>
      <w:r w:rsidR="00F354E1">
        <w:rPr>
          <w:rFonts w:asciiTheme="minorHAnsi" w:hAnsiTheme="minorHAnsi" w:cstheme="minorBidi"/>
          <w:color w:val="000000" w:themeColor="text1"/>
          <w:sz w:val="19"/>
          <w:szCs w:val="19"/>
        </w:rPr>
        <w:t xml:space="preserve"> platobných služieb vedúci</w:t>
      </w:r>
      <w:r w:rsidR="00C11995">
        <w:rPr>
          <w:rFonts w:asciiTheme="minorHAnsi" w:hAnsiTheme="minorHAnsi" w:cstheme="minorBidi"/>
          <w:color w:val="000000" w:themeColor="text1"/>
          <w:sz w:val="19"/>
          <w:szCs w:val="19"/>
        </w:rPr>
        <w:t>ch</w:t>
      </w:r>
      <w:r w:rsidR="00F354E1">
        <w:rPr>
          <w:rFonts w:asciiTheme="minorHAnsi" w:hAnsiTheme="minorHAnsi" w:cstheme="minorBidi"/>
          <w:color w:val="000000" w:themeColor="text1"/>
          <w:sz w:val="19"/>
          <w:szCs w:val="19"/>
        </w:rPr>
        <w:t xml:space="preserve"> platobný účet </w:t>
      </w:r>
      <w:r w:rsidR="00F53F77">
        <w:rPr>
          <w:rFonts w:asciiTheme="minorHAnsi" w:hAnsiTheme="minorHAnsi" w:cstheme="minorBidi"/>
          <w:color w:val="000000" w:themeColor="text1"/>
          <w:sz w:val="19"/>
          <w:szCs w:val="19"/>
        </w:rPr>
        <w:t>(</w:t>
      </w:r>
      <w:r w:rsidR="00F354E1">
        <w:rPr>
          <w:rFonts w:asciiTheme="minorHAnsi" w:hAnsiTheme="minorHAnsi" w:cstheme="minorBidi"/>
          <w:color w:val="000000" w:themeColor="text1"/>
          <w:sz w:val="19"/>
          <w:szCs w:val="19"/>
        </w:rPr>
        <w:t>ďalej len „</w:t>
      </w:r>
      <w:r w:rsidR="00F354E1" w:rsidRPr="00E26E9F">
        <w:rPr>
          <w:rFonts w:asciiTheme="minorHAnsi" w:hAnsiTheme="minorHAnsi" w:cstheme="minorBidi"/>
          <w:b/>
          <w:bCs/>
          <w:color w:val="000000" w:themeColor="text1"/>
          <w:sz w:val="19"/>
          <w:szCs w:val="19"/>
        </w:rPr>
        <w:t>ASPSP</w:t>
      </w:r>
      <w:r w:rsidR="00F354E1">
        <w:rPr>
          <w:rFonts w:asciiTheme="minorHAnsi" w:hAnsiTheme="minorHAnsi" w:cstheme="minorBidi"/>
          <w:color w:val="000000" w:themeColor="text1"/>
          <w:sz w:val="19"/>
          <w:szCs w:val="19"/>
        </w:rPr>
        <w:t>“)</w:t>
      </w:r>
      <w:r w:rsidR="00F354E1" w:rsidRPr="00633B9E">
        <w:rPr>
          <w:rFonts w:asciiTheme="minorHAnsi" w:hAnsiTheme="minorHAnsi" w:cstheme="minorBidi"/>
          <w:color w:val="000000" w:themeColor="text1"/>
          <w:sz w:val="19"/>
          <w:szCs w:val="19"/>
        </w:rPr>
        <w:t xml:space="preserve"> </w:t>
      </w:r>
      <w:r w:rsidR="00D835BB" w:rsidRPr="00633B9E">
        <w:rPr>
          <w:rFonts w:asciiTheme="minorHAnsi" w:hAnsiTheme="minorHAnsi" w:cstheme="minorBidi"/>
          <w:color w:val="000000" w:themeColor="text1"/>
          <w:sz w:val="19"/>
          <w:szCs w:val="19"/>
        </w:rPr>
        <w:t xml:space="preserve">so sídlom v SR ako aj zahraničným </w:t>
      </w:r>
      <w:r w:rsidR="00F354E1">
        <w:rPr>
          <w:rFonts w:asciiTheme="minorHAnsi" w:hAnsiTheme="minorHAnsi" w:cstheme="minorBidi"/>
          <w:color w:val="000000" w:themeColor="text1"/>
          <w:sz w:val="19"/>
          <w:szCs w:val="19"/>
        </w:rPr>
        <w:t>ASPSP</w:t>
      </w:r>
      <w:r w:rsidR="00D835BB" w:rsidRPr="00633B9E">
        <w:rPr>
          <w:rFonts w:asciiTheme="minorHAnsi" w:hAnsiTheme="minorHAnsi" w:cstheme="minorBidi"/>
          <w:color w:val="000000" w:themeColor="text1"/>
          <w:sz w:val="19"/>
          <w:szCs w:val="19"/>
        </w:rPr>
        <w:t xml:space="preserve"> v členení podľa úspešnosti</w:t>
      </w:r>
      <w:r w:rsidR="00F53F77">
        <w:rPr>
          <w:rFonts w:asciiTheme="minorHAnsi" w:hAnsiTheme="minorHAnsi" w:cstheme="minorBidi"/>
          <w:color w:val="000000" w:themeColor="text1"/>
          <w:sz w:val="19"/>
          <w:szCs w:val="19"/>
        </w:rPr>
        <w:t>.</w:t>
      </w:r>
      <w:r w:rsidR="00E26E9F">
        <w:rPr>
          <w:rFonts w:asciiTheme="minorHAnsi" w:hAnsiTheme="minorHAnsi" w:cstheme="minorBidi"/>
          <w:color w:val="000000" w:themeColor="text1"/>
          <w:sz w:val="19"/>
          <w:szCs w:val="19"/>
        </w:rPr>
        <w:t xml:space="preserve"> </w:t>
      </w:r>
      <w:r w:rsidR="00F11F73">
        <w:rPr>
          <w:rFonts w:asciiTheme="minorHAnsi" w:hAnsiTheme="minorHAnsi" w:cstheme="minorBidi"/>
          <w:color w:val="000000" w:themeColor="text1"/>
          <w:sz w:val="19"/>
          <w:szCs w:val="19"/>
        </w:rPr>
        <w:t>Tieto</w:t>
      </w:r>
      <w:r w:rsidR="00E24EDB">
        <w:rPr>
          <w:rFonts w:asciiTheme="minorHAnsi" w:hAnsiTheme="minorHAnsi" w:cstheme="minorBidi"/>
          <w:color w:val="000000" w:themeColor="text1"/>
          <w:sz w:val="19"/>
          <w:szCs w:val="19"/>
        </w:rPr>
        <w:t xml:space="preserve"> informácie žiadame predkladať </w:t>
      </w:r>
      <w:r w:rsidR="00F11F73">
        <w:rPr>
          <w:rFonts w:asciiTheme="minorHAnsi" w:hAnsiTheme="minorHAnsi" w:cstheme="minorBidi"/>
          <w:color w:val="000000" w:themeColor="text1"/>
          <w:sz w:val="19"/>
          <w:szCs w:val="19"/>
        </w:rPr>
        <w:t>podľa</w:t>
      </w:r>
      <w:r w:rsidR="00E24EDB">
        <w:rPr>
          <w:rFonts w:asciiTheme="minorHAnsi" w:hAnsiTheme="minorHAnsi" w:cstheme="minorBidi"/>
          <w:color w:val="000000" w:themeColor="text1"/>
          <w:sz w:val="19"/>
          <w:szCs w:val="19"/>
        </w:rPr>
        <w:t xml:space="preserve"> nižšie uvedeného </w:t>
      </w:r>
      <w:r w:rsidR="0024047C">
        <w:rPr>
          <w:rFonts w:asciiTheme="minorHAnsi" w:hAnsiTheme="minorHAnsi" w:cstheme="minorBidi"/>
          <w:color w:val="000000" w:themeColor="text1"/>
          <w:sz w:val="19"/>
          <w:szCs w:val="19"/>
        </w:rPr>
        <w:t>vzoru</w:t>
      </w:r>
      <w:r w:rsidR="00E24EDB">
        <w:rPr>
          <w:rFonts w:asciiTheme="minorHAnsi" w:hAnsiTheme="minorHAnsi" w:cstheme="minorBidi"/>
          <w:color w:val="000000" w:themeColor="text1"/>
          <w:sz w:val="19"/>
          <w:szCs w:val="19"/>
        </w:rPr>
        <w:t xml:space="preserve">. </w:t>
      </w:r>
    </w:p>
    <w:p w14:paraId="5CFFF785" w14:textId="77777777" w:rsidR="00D859F6" w:rsidRDefault="00D859F6" w:rsidP="00E24EDB">
      <w:pPr>
        <w:pStyle w:val="NormalWeb"/>
        <w:shd w:val="clear" w:color="auto" w:fill="FFFFFF" w:themeFill="background1"/>
        <w:spacing w:before="0" w:beforeAutospacing="0" w:after="0" w:afterAutospacing="0"/>
        <w:ind w:left="397"/>
        <w:textAlignment w:val="baseline"/>
        <w:rPr>
          <w:rFonts w:asciiTheme="minorHAnsi" w:hAnsiTheme="minorHAnsi" w:cstheme="minorBidi"/>
          <w:color w:val="000000" w:themeColor="text1"/>
          <w:sz w:val="19"/>
          <w:szCs w:val="19"/>
        </w:rPr>
      </w:pPr>
    </w:p>
    <w:bookmarkStart w:id="0" w:name="_Hlk131077239"/>
    <w:p w14:paraId="3B9DD258" w14:textId="369ED756" w:rsidR="000F4BE6" w:rsidRDefault="00C11995" w:rsidP="00D859F6">
      <w:pPr>
        <w:pStyle w:val="NormalWeb"/>
        <w:shd w:val="clear" w:color="auto" w:fill="FFFFFF" w:themeFill="background1"/>
        <w:spacing w:after="0" w:afterAutospacing="0"/>
        <w:textAlignment w:val="baseline"/>
        <w:rPr>
          <w:rFonts w:asciiTheme="minorHAnsi" w:hAnsiTheme="minorHAnsi" w:cstheme="minorBidi"/>
          <w:color w:val="000000" w:themeColor="text1"/>
          <w:sz w:val="19"/>
          <w:szCs w:val="19"/>
        </w:rPr>
      </w:pPr>
      <w:r>
        <w:rPr>
          <w:rFonts w:asciiTheme="minorHAnsi" w:hAnsiTheme="minorHAnsi" w:cstheme="minorBidi"/>
          <w:color w:val="000000" w:themeColor="text1"/>
          <w:sz w:val="19"/>
          <w:szCs w:val="19"/>
        </w:rPr>
        <w:object w:dxaOrig="1520" w:dyaOrig="985" w14:anchorId="06B7D8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0" type="#_x0000_t75" style="width:76pt;height:49.5pt" o:ole="">
            <v:imagedata r:id="rId9" o:title=""/>
          </v:shape>
          <o:OLEObject Type="Embed" ProgID="Excel.Sheet.12" ShapeID="_x0000_i1050" DrawAspect="Icon" ObjectID="_1742801865" r:id="rId10"/>
        </w:object>
      </w:r>
    </w:p>
    <w:p w14:paraId="717DB0E5" w14:textId="45B13DD4" w:rsidR="002E6498" w:rsidRDefault="002E6498" w:rsidP="00D859F6">
      <w:pPr>
        <w:pStyle w:val="NormalWeb"/>
        <w:shd w:val="clear" w:color="auto" w:fill="FFFFFF" w:themeFill="background1"/>
        <w:spacing w:after="0" w:afterAutospacing="0"/>
        <w:textAlignment w:val="baseline"/>
        <w:rPr>
          <w:rFonts w:asciiTheme="minorHAnsi" w:hAnsiTheme="minorHAnsi" w:cstheme="minorBidi"/>
          <w:color w:val="000000" w:themeColor="text1"/>
          <w:sz w:val="19"/>
          <w:szCs w:val="19"/>
        </w:rPr>
      </w:pPr>
      <w:r w:rsidRPr="003D68AB">
        <w:rPr>
          <w:rFonts w:asciiTheme="minorHAnsi" w:hAnsiTheme="minorHAnsi" w:cstheme="minorBidi"/>
          <w:color w:val="000000" w:themeColor="text1"/>
          <w:sz w:val="19"/>
          <w:szCs w:val="19"/>
        </w:rPr>
        <w:t>Dávame do pozornosti</w:t>
      </w:r>
      <w:r>
        <w:rPr>
          <w:rFonts w:asciiTheme="minorHAnsi" w:hAnsiTheme="minorHAnsi" w:cstheme="minorBidi"/>
          <w:color w:val="000000" w:themeColor="text1"/>
          <w:sz w:val="19"/>
          <w:szCs w:val="19"/>
        </w:rPr>
        <w:t xml:space="preserve">, že na poskytovateľa platobných služieb informovania o účte sa primerane vzťahujú ustanovenie </w:t>
      </w:r>
      <w:r w:rsidRPr="007A161C">
        <w:rPr>
          <w:rFonts w:asciiTheme="minorHAnsi" w:hAnsiTheme="minorHAnsi" w:cstheme="minorBidi"/>
          <w:b/>
          <w:bCs/>
          <w:color w:val="000000" w:themeColor="text1"/>
          <w:sz w:val="19"/>
          <w:szCs w:val="19"/>
        </w:rPr>
        <w:t>§ 28c a 28d</w:t>
      </w:r>
      <w:r>
        <w:rPr>
          <w:rFonts w:asciiTheme="minorHAnsi" w:hAnsiTheme="minorHAnsi" w:cstheme="minorBidi"/>
          <w:color w:val="000000" w:themeColor="text1"/>
          <w:sz w:val="19"/>
          <w:szCs w:val="19"/>
        </w:rPr>
        <w:t xml:space="preserve"> Zákona 492/2009. Podľa predmetných ustanovení</w:t>
      </w:r>
      <w:r w:rsidRPr="003D68AB">
        <w:rPr>
          <w:rFonts w:asciiTheme="minorHAnsi" w:hAnsiTheme="minorHAnsi" w:cstheme="minorBidi"/>
          <w:color w:val="000000" w:themeColor="text1"/>
          <w:sz w:val="19"/>
          <w:szCs w:val="19"/>
        </w:rPr>
        <w:t xml:space="preserve"> poskytovateľ platobných </w:t>
      </w:r>
      <w:r>
        <w:rPr>
          <w:rFonts w:asciiTheme="minorHAnsi" w:hAnsiTheme="minorHAnsi" w:cstheme="minorBidi"/>
          <w:color w:val="000000" w:themeColor="text1"/>
          <w:sz w:val="19"/>
          <w:szCs w:val="19"/>
        </w:rPr>
        <w:t>okrem iného:</w:t>
      </w:r>
    </w:p>
    <w:p w14:paraId="7DF8296A" w14:textId="2C8C86DB" w:rsidR="002E6498" w:rsidRDefault="002E6498" w:rsidP="002E6498">
      <w:pPr>
        <w:pStyle w:val="NormalWeb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/>
        <w:ind w:left="714" w:hanging="357"/>
        <w:textAlignment w:val="baseline"/>
        <w:rPr>
          <w:rFonts w:asciiTheme="minorHAnsi" w:hAnsiTheme="minorHAnsi" w:cstheme="minorBidi"/>
          <w:color w:val="000000" w:themeColor="text1"/>
          <w:sz w:val="19"/>
          <w:szCs w:val="19"/>
        </w:rPr>
      </w:pPr>
      <w:r w:rsidRPr="003D68AB">
        <w:rPr>
          <w:rFonts w:asciiTheme="minorHAnsi" w:hAnsiTheme="minorHAnsi" w:cstheme="minorBidi"/>
          <w:color w:val="000000" w:themeColor="text1"/>
          <w:sz w:val="19"/>
          <w:szCs w:val="19"/>
        </w:rPr>
        <w:t xml:space="preserve">najmenej raz ročne poskytuje Národnej banke Slovenska aktualizované a </w:t>
      </w:r>
      <w:r w:rsidRPr="007A161C">
        <w:rPr>
          <w:rFonts w:asciiTheme="minorHAnsi" w:hAnsiTheme="minorHAnsi" w:cstheme="minorBidi"/>
          <w:b/>
          <w:bCs/>
          <w:color w:val="000000" w:themeColor="text1"/>
          <w:sz w:val="19"/>
          <w:szCs w:val="19"/>
        </w:rPr>
        <w:t>komplexné posúdenie riadenia prevádzkového rizika a bezpečnostného rizika</w:t>
      </w:r>
      <w:r w:rsidRPr="003D68AB">
        <w:rPr>
          <w:rFonts w:asciiTheme="minorHAnsi" w:hAnsiTheme="minorHAnsi" w:cstheme="minorBidi"/>
          <w:color w:val="000000" w:themeColor="text1"/>
          <w:sz w:val="19"/>
          <w:szCs w:val="19"/>
        </w:rPr>
        <w:t xml:space="preserve"> súvisiacich s poskytovaním platobných služieb, ako aj primeranosť opatrení na zmiernenie takýchto rizík a zavedených kontrolných mechanizmov s cieľom reagovať na takéto riziká</w:t>
      </w:r>
    </w:p>
    <w:p w14:paraId="3459BAD3" w14:textId="7F1A1381" w:rsidR="002E6498" w:rsidRPr="003D68AB" w:rsidRDefault="002E6498" w:rsidP="002E6498">
      <w:pPr>
        <w:pStyle w:val="NormalWeb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/>
        <w:ind w:left="714" w:hanging="357"/>
        <w:textAlignment w:val="baseline"/>
        <w:rPr>
          <w:rFonts w:asciiTheme="minorHAnsi" w:hAnsiTheme="minorHAnsi" w:cstheme="minorBidi"/>
          <w:color w:val="000000" w:themeColor="text1"/>
          <w:sz w:val="19"/>
          <w:szCs w:val="19"/>
        </w:rPr>
      </w:pPr>
      <w:r>
        <w:rPr>
          <w:rFonts w:asciiTheme="minorHAnsi" w:hAnsiTheme="minorHAnsi" w:cstheme="minorBidi"/>
          <w:color w:val="000000" w:themeColor="text1"/>
          <w:sz w:val="19"/>
          <w:szCs w:val="19"/>
        </w:rPr>
        <w:t xml:space="preserve">informuje </w:t>
      </w:r>
      <w:r w:rsidRPr="007A161C">
        <w:rPr>
          <w:rFonts w:asciiTheme="minorHAnsi" w:hAnsiTheme="minorHAnsi" w:cstheme="minorBidi"/>
          <w:color w:val="000000" w:themeColor="text1"/>
          <w:sz w:val="19"/>
          <w:szCs w:val="19"/>
        </w:rPr>
        <w:t>Národnú banku Slovenska</w:t>
      </w:r>
      <w:r>
        <w:rPr>
          <w:rFonts w:asciiTheme="minorHAnsi" w:hAnsiTheme="minorHAnsi" w:cstheme="minorBidi"/>
          <w:color w:val="000000" w:themeColor="text1"/>
          <w:sz w:val="19"/>
          <w:szCs w:val="19"/>
        </w:rPr>
        <w:t xml:space="preserve"> </w:t>
      </w:r>
      <w:r w:rsidRPr="007A161C">
        <w:rPr>
          <w:rFonts w:asciiTheme="minorHAnsi" w:hAnsiTheme="minorHAnsi" w:cstheme="minorBidi"/>
          <w:b/>
          <w:bCs/>
          <w:color w:val="000000" w:themeColor="text1"/>
          <w:sz w:val="19"/>
          <w:szCs w:val="19"/>
        </w:rPr>
        <w:t>o</w:t>
      </w:r>
      <w:r w:rsidR="00A84808">
        <w:rPr>
          <w:rFonts w:asciiTheme="minorHAnsi" w:hAnsiTheme="minorHAnsi" w:cstheme="minorBidi"/>
          <w:b/>
          <w:bCs/>
          <w:color w:val="000000" w:themeColor="text1"/>
          <w:sz w:val="19"/>
          <w:szCs w:val="19"/>
        </w:rPr>
        <w:t xml:space="preserve"> závažnom </w:t>
      </w:r>
      <w:r w:rsidRPr="007A161C">
        <w:rPr>
          <w:rFonts w:asciiTheme="minorHAnsi" w:hAnsiTheme="minorHAnsi" w:cstheme="minorBidi"/>
          <w:b/>
          <w:bCs/>
          <w:color w:val="000000" w:themeColor="text1"/>
          <w:sz w:val="19"/>
          <w:szCs w:val="19"/>
        </w:rPr>
        <w:t>incident</w:t>
      </w:r>
      <w:r>
        <w:rPr>
          <w:rFonts w:asciiTheme="minorHAnsi" w:hAnsiTheme="minorHAnsi" w:cstheme="minorBidi"/>
          <w:b/>
          <w:bCs/>
          <w:color w:val="000000" w:themeColor="text1"/>
          <w:sz w:val="19"/>
          <w:szCs w:val="19"/>
        </w:rPr>
        <w:t>e</w:t>
      </w:r>
      <w:r w:rsidR="00266961">
        <w:rPr>
          <w:rFonts w:asciiTheme="minorHAnsi" w:hAnsiTheme="minorHAnsi" w:cstheme="minorBidi"/>
          <w:b/>
          <w:bCs/>
          <w:color w:val="000000" w:themeColor="text1"/>
          <w:sz w:val="19"/>
          <w:szCs w:val="19"/>
        </w:rPr>
        <w:t xml:space="preserve"> </w:t>
      </w:r>
      <w:r w:rsidR="00266961" w:rsidRPr="002E6498">
        <w:rPr>
          <w:rFonts w:asciiTheme="minorHAnsi" w:hAnsiTheme="minorHAnsi" w:cstheme="minorBidi"/>
          <w:color w:val="000000" w:themeColor="text1"/>
          <w:sz w:val="19"/>
          <w:szCs w:val="19"/>
        </w:rPr>
        <w:t>prostredníctvom</w:t>
      </w:r>
      <w:r w:rsidR="00266961">
        <w:rPr>
          <w:rFonts w:asciiTheme="minorHAnsi" w:hAnsiTheme="minorHAnsi" w:cstheme="minorBidi"/>
          <w:color w:val="000000" w:themeColor="text1"/>
          <w:sz w:val="19"/>
          <w:szCs w:val="19"/>
        </w:rPr>
        <w:t xml:space="preserve"> IS ŠZP.</w:t>
      </w:r>
    </w:p>
    <w:p w14:paraId="607AAAB7" w14:textId="364E9521" w:rsidR="00FF04B5" w:rsidRPr="00564381" w:rsidRDefault="002E6498" w:rsidP="002E6498">
      <w:pPr>
        <w:pStyle w:val="NormalWeb"/>
        <w:shd w:val="clear" w:color="auto" w:fill="FFFFFF" w:themeFill="background1"/>
        <w:spacing w:after="0"/>
        <w:textAlignment w:val="baseline"/>
      </w:pPr>
      <w:r w:rsidRPr="00786027">
        <w:rPr>
          <w:rFonts w:asciiTheme="minorHAnsi" w:hAnsiTheme="minorHAnsi" w:cstheme="minorBidi"/>
          <w:sz w:val="19"/>
          <w:szCs w:val="19"/>
        </w:rPr>
        <w:t xml:space="preserve">Zároveň odporúčame priebežne sledovať </w:t>
      </w:r>
      <w:hyperlink r:id="rId11" w:history="1">
        <w:r w:rsidRPr="00786027">
          <w:rPr>
            <w:rStyle w:val="Hyperlink"/>
            <w:rFonts w:asciiTheme="minorHAnsi" w:hAnsiTheme="minorHAnsi" w:cstheme="minorBidi"/>
            <w:sz w:val="19"/>
            <w:szCs w:val="19"/>
          </w:rPr>
          <w:t>webové sídlo Národnej banky Slovenska</w:t>
        </w:r>
      </w:hyperlink>
      <w:r w:rsidRPr="00072A48">
        <w:rPr>
          <w:rFonts w:asciiTheme="minorHAnsi" w:hAnsiTheme="minorHAnsi" w:cstheme="minorBidi"/>
          <w:color w:val="FF0000"/>
          <w:sz w:val="19"/>
          <w:szCs w:val="19"/>
        </w:rPr>
        <w:t xml:space="preserve"> </w:t>
      </w:r>
      <w:r>
        <w:rPr>
          <w:rFonts w:asciiTheme="minorHAnsi" w:hAnsiTheme="minorHAnsi" w:cstheme="minorBidi"/>
          <w:color w:val="FF0000"/>
          <w:sz w:val="19"/>
          <w:szCs w:val="19"/>
        </w:rPr>
        <w:t xml:space="preserve"> </w:t>
      </w:r>
      <w:r w:rsidRPr="00786027">
        <w:rPr>
          <w:rFonts w:asciiTheme="minorHAnsi" w:hAnsiTheme="minorHAnsi" w:cstheme="minorBidi"/>
          <w:sz w:val="19"/>
          <w:szCs w:val="19"/>
        </w:rPr>
        <w:t xml:space="preserve">ako aj naplánované vzory výkazov v IS ŠZP. </w:t>
      </w:r>
      <w:bookmarkEnd w:id="0"/>
    </w:p>
    <w:sectPr w:rsidR="00FF04B5" w:rsidRPr="00564381" w:rsidSect="00E26E9F">
      <w:footerReference w:type="default" r:id="rId12"/>
      <w:pgSz w:w="11906" w:h="16838"/>
      <w:pgMar w:top="709" w:right="1416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0406D" w14:textId="77777777" w:rsidR="00150F21" w:rsidRDefault="00150F21" w:rsidP="0009480D">
      <w:pPr>
        <w:spacing w:after="0" w:line="240" w:lineRule="auto"/>
      </w:pPr>
      <w:r>
        <w:separator/>
      </w:r>
    </w:p>
  </w:endnote>
  <w:endnote w:type="continuationSeparator" w:id="0">
    <w:p w14:paraId="40D0F288" w14:textId="77777777" w:rsidR="00150F21" w:rsidRDefault="00150F21" w:rsidP="00094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01EE7" w14:textId="77777777" w:rsidR="0009480D" w:rsidRDefault="0009480D" w:rsidP="0009480D">
    <w:pPr>
      <w:pStyle w:val="Patic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C8F19" w14:textId="77777777" w:rsidR="00150F21" w:rsidRDefault="00150F21" w:rsidP="0009480D">
      <w:pPr>
        <w:spacing w:after="0" w:line="240" w:lineRule="auto"/>
      </w:pPr>
      <w:r>
        <w:separator/>
      </w:r>
    </w:p>
  </w:footnote>
  <w:footnote w:type="continuationSeparator" w:id="0">
    <w:p w14:paraId="325865C2" w14:textId="77777777" w:rsidR="00150F21" w:rsidRDefault="00150F21" w:rsidP="000948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F5F78"/>
    <w:multiLevelType w:val="hybridMultilevel"/>
    <w:tmpl w:val="44B0A104"/>
    <w:lvl w:ilvl="0" w:tplc="7550F62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0157F"/>
    <w:multiLevelType w:val="hybridMultilevel"/>
    <w:tmpl w:val="A7F03FCC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40500359"/>
    <w:multiLevelType w:val="hybridMultilevel"/>
    <w:tmpl w:val="38045A78"/>
    <w:lvl w:ilvl="0" w:tplc="041B000F">
      <w:start w:val="1"/>
      <w:numFmt w:val="decimal"/>
      <w:lvlText w:val="%1."/>
      <w:lvlJc w:val="left"/>
      <w:pPr>
        <w:ind w:left="2508" w:hanging="360"/>
      </w:pPr>
    </w:lvl>
    <w:lvl w:ilvl="1" w:tplc="041B0019">
      <w:start w:val="1"/>
      <w:numFmt w:val="lowerLetter"/>
      <w:lvlText w:val="%2."/>
      <w:lvlJc w:val="left"/>
      <w:pPr>
        <w:ind w:left="3228" w:hanging="360"/>
      </w:pPr>
    </w:lvl>
    <w:lvl w:ilvl="2" w:tplc="041B001B" w:tentative="1">
      <w:start w:val="1"/>
      <w:numFmt w:val="lowerRoman"/>
      <w:lvlText w:val="%3."/>
      <w:lvlJc w:val="right"/>
      <w:pPr>
        <w:ind w:left="3948" w:hanging="180"/>
      </w:pPr>
    </w:lvl>
    <w:lvl w:ilvl="3" w:tplc="041B000F" w:tentative="1">
      <w:start w:val="1"/>
      <w:numFmt w:val="decimal"/>
      <w:lvlText w:val="%4."/>
      <w:lvlJc w:val="left"/>
      <w:pPr>
        <w:ind w:left="4668" w:hanging="360"/>
      </w:pPr>
    </w:lvl>
    <w:lvl w:ilvl="4" w:tplc="041B0019" w:tentative="1">
      <w:start w:val="1"/>
      <w:numFmt w:val="lowerLetter"/>
      <w:lvlText w:val="%5."/>
      <w:lvlJc w:val="left"/>
      <w:pPr>
        <w:ind w:left="5388" w:hanging="360"/>
      </w:pPr>
    </w:lvl>
    <w:lvl w:ilvl="5" w:tplc="041B001B" w:tentative="1">
      <w:start w:val="1"/>
      <w:numFmt w:val="lowerRoman"/>
      <w:lvlText w:val="%6."/>
      <w:lvlJc w:val="right"/>
      <w:pPr>
        <w:ind w:left="6108" w:hanging="180"/>
      </w:pPr>
    </w:lvl>
    <w:lvl w:ilvl="6" w:tplc="041B000F" w:tentative="1">
      <w:start w:val="1"/>
      <w:numFmt w:val="decimal"/>
      <w:lvlText w:val="%7."/>
      <w:lvlJc w:val="left"/>
      <w:pPr>
        <w:ind w:left="6828" w:hanging="360"/>
      </w:pPr>
    </w:lvl>
    <w:lvl w:ilvl="7" w:tplc="041B0019" w:tentative="1">
      <w:start w:val="1"/>
      <w:numFmt w:val="lowerLetter"/>
      <w:lvlText w:val="%8."/>
      <w:lvlJc w:val="left"/>
      <w:pPr>
        <w:ind w:left="7548" w:hanging="360"/>
      </w:pPr>
    </w:lvl>
    <w:lvl w:ilvl="8" w:tplc="041B001B" w:tentative="1">
      <w:start w:val="1"/>
      <w:numFmt w:val="lowerRoman"/>
      <w:lvlText w:val="%9."/>
      <w:lvlJc w:val="right"/>
      <w:pPr>
        <w:ind w:left="8268" w:hanging="180"/>
      </w:pPr>
    </w:lvl>
  </w:abstractNum>
  <w:num w:numId="1" w16cid:durableId="41371725">
    <w:abstractNumId w:val="2"/>
  </w:num>
  <w:num w:numId="2" w16cid:durableId="217783893">
    <w:abstractNumId w:val="1"/>
  </w:num>
  <w:num w:numId="3" w16cid:durableId="13321736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BEF"/>
    <w:rsid w:val="00012CF2"/>
    <w:rsid w:val="0009480D"/>
    <w:rsid w:val="000D11AA"/>
    <w:rsid w:val="000F4BE6"/>
    <w:rsid w:val="00130860"/>
    <w:rsid w:val="00150F21"/>
    <w:rsid w:val="001554B1"/>
    <w:rsid w:val="001663B6"/>
    <w:rsid w:val="00173EC2"/>
    <w:rsid w:val="00195869"/>
    <w:rsid w:val="001A694C"/>
    <w:rsid w:val="001B586A"/>
    <w:rsid w:val="001D01FE"/>
    <w:rsid w:val="001D5F9F"/>
    <w:rsid w:val="00225679"/>
    <w:rsid w:val="0024047C"/>
    <w:rsid w:val="00266961"/>
    <w:rsid w:val="002B4CD0"/>
    <w:rsid w:val="002E6498"/>
    <w:rsid w:val="003636B5"/>
    <w:rsid w:val="00392F01"/>
    <w:rsid w:val="004100B0"/>
    <w:rsid w:val="00445B18"/>
    <w:rsid w:val="004D7E2D"/>
    <w:rsid w:val="00517991"/>
    <w:rsid w:val="005316F2"/>
    <w:rsid w:val="005558AE"/>
    <w:rsid w:val="00564381"/>
    <w:rsid w:val="005939CC"/>
    <w:rsid w:val="005A1CD3"/>
    <w:rsid w:val="00633B9E"/>
    <w:rsid w:val="006470E3"/>
    <w:rsid w:val="00782367"/>
    <w:rsid w:val="00787300"/>
    <w:rsid w:val="008615C2"/>
    <w:rsid w:val="0091546E"/>
    <w:rsid w:val="009841D6"/>
    <w:rsid w:val="009A6FA0"/>
    <w:rsid w:val="00A11695"/>
    <w:rsid w:val="00A719D6"/>
    <w:rsid w:val="00A84808"/>
    <w:rsid w:val="00AF41FA"/>
    <w:rsid w:val="00B31C02"/>
    <w:rsid w:val="00B42F36"/>
    <w:rsid w:val="00BA4BE5"/>
    <w:rsid w:val="00C11995"/>
    <w:rsid w:val="00C25193"/>
    <w:rsid w:val="00C35E8A"/>
    <w:rsid w:val="00C640FF"/>
    <w:rsid w:val="00CA5BEF"/>
    <w:rsid w:val="00CB7C08"/>
    <w:rsid w:val="00D47689"/>
    <w:rsid w:val="00D835BB"/>
    <w:rsid w:val="00D859F6"/>
    <w:rsid w:val="00E008DE"/>
    <w:rsid w:val="00E24EDB"/>
    <w:rsid w:val="00E26E9F"/>
    <w:rsid w:val="00F11F73"/>
    <w:rsid w:val="00F2585F"/>
    <w:rsid w:val="00F260FA"/>
    <w:rsid w:val="00F354E1"/>
    <w:rsid w:val="00F53F77"/>
    <w:rsid w:val="00F86861"/>
    <w:rsid w:val="00FA1225"/>
    <w:rsid w:val="00FC7F83"/>
    <w:rsid w:val="00FE29B3"/>
    <w:rsid w:val="00FF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155BBBEE"/>
  <w15:chartTrackingRefBased/>
  <w15:docId w15:val="{A763D388-EBA5-4EBE-B0CB-6C5825BEE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inorBidi"/>
        <w:lang w:val="sk-SK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381"/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41D6"/>
    <w:pPr>
      <w:keepNext/>
      <w:keepLines/>
      <w:spacing w:before="240"/>
      <w:outlineLvl w:val="0"/>
    </w:pPr>
    <w:rPr>
      <w:rFonts w:ascii="Verdana" w:eastAsiaTheme="majorEastAsia" w:hAnsi="Verdana" w:cstheme="majorBidi"/>
      <w:color w:val="0067AC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41D6"/>
    <w:pPr>
      <w:keepNext/>
      <w:keepLines/>
      <w:spacing w:before="120" w:after="240"/>
      <w:outlineLvl w:val="1"/>
    </w:pPr>
    <w:rPr>
      <w:rFonts w:ascii="Verdana" w:eastAsiaTheme="majorEastAsia" w:hAnsi="Verdana" w:cstheme="majorBidi"/>
      <w:color w:val="0067AC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41D6"/>
    <w:pPr>
      <w:keepNext/>
      <w:keepLines/>
      <w:spacing w:before="240"/>
      <w:outlineLvl w:val="2"/>
    </w:pPr>
    <w:rPr>
      <w:rFonts w:ascii="Verdana" w:eastAsiaTheme="majorEastAsia" w:hAnsi="Verdana" w:cstheme="majorBidi"/>
      <w:color w:val="0067A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41D6"/>
    <w:rPr>
      <w:rFonts w:ascii="Verdana" w:eastAsiaTheme="majorEastAsia" w:hAnsi="Verdana" w:cstheme="majorBidi"/>
      <w:color w:val="0067AC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841D6"/>
    <w:rPr>
      <w:rFonts w:ascii="Verdana" w:eastAsiaTheme="majorEastAsia" w:hAnsi="Verdana" w:cstheme="majorBidi"/>
      <w:color w:val="0067AC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841D6"/>
    <w:rPr>
      <w:rFonts w:ascii="Verdana" w:eastAsiaTheme="majorEastAsia" w:hAnsi="Verdana" w:cstheme="majorBidi"/>
      <w:color w:val="0067AC"/>
      <w:sz w:val="24"/>
      <w:szCs w:val="24"/>
    </w:rPr>
  </w:style>
  <w:style w:type="paragraph" w:styleId="NoSpacing">
    <w:name w:val="No Spacing"/>
    <w:uiPriority w:val="1"/>
    <w:rsid w:val="005316F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94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80D"/>
  </w:style>
  <w:style w:type="paragraph" w:styleId="Footer">
    <w:name w:val="footer"/>
    <w:basedOn w:val="Normal"/>
    <w:link w:val="FooterChar"/>
    <w:uiPriority w:val="99"/>
    <w:unhideWhenUsed/>
    <w:rsid w:val="00094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80D"/>
  </w:style>
  <w:style w:type="paragraph" w:customStyle="1" w:styleId="Paticka">
    <w:name w:val="Paticka"/>
    <w:basedOn w:val="Footer"/>
    <w:link w:val="PatickaChar"/>
    <w:qFormat/>
    <w:rsid w:val="0009480D"/>
    <w:rPr>
      <w:rFonts w:ascii="Verdana" w:hAnsi="Verdana"/>
      <w:sz w:val="14"/>
    </w:rPr>
  </w:style>
  <w:style w:type="paragraph" w:customStyle="1" w:styleId="Poznamka">
    <w:name w:val="Poznamka"/>
    <w:link w:val="PoznamkaChar"/>
    <w:qFormat/>
    <w:rsid w:val="0009480D"/>
    <w:rPr>
      <w:rFonts w:ascii="Verdana" w:hAnsi="Verdana"/>
      <w:sz w:val="14"/>
    </w:rPr>
  </w:style>
  <w:style w:type="character" w:customStyle="1" w:styleId="PatickaChar">
    <w:name w:val="Paticka Char"/>
    <w:basedOn w:val="FooterChar"/>
    <w:link w:val="Paticka"/>
    <w:rsid w:val="0009480D"/>
    <w:rPr>
      <w:rFonts w:ascii="Verdana" w:hAnsi="Verdana"/>
      <w:sz w:val="14"/>
    </w:rPr>
  </w:style>
  <w:style w:type="character" w:customStyle="1" w:styleId="PoznamkaChar">
    <w:name w:val="Poznamka Char"/>
    <w:basedOn w:val="DefaultParagraphFont"/>
    <w:link w:val="Poznamka"/>
    <w:rsid w:val="0009480D"/>
    <w:rPr>
      <w:rFonts w:ascii="Verdana" w:hAnsi="Verdana"/>
      <w:sz w:val="14"/>
    </w:rPr>
  </w:style>
  <w:style w:type="character" w:styleId="Hyperlink">
    <w:name w:val="Hyperlink"/>
    <w:basedOn w:val="DefaultParagraphFont"/>
    <w:uiPriority w:val="99"/>
    <w:unhideWhenUsed/>
    <w:rsid w:val="00CA5BE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A5BE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CommentReference">
    <w:name w:val="annotation reference"/>
    <w:basedOn w:val="DefaultParagraphFont"/>
    <w:uiPriority w:val="99"/>
    <w:semiHidden/>
    <w:unhideWhenUsed/>
    <w:rsid w:val="00F868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6861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686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68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6861"/>
    <w:rPr>
      <w:b/>
      <w:bCs/>
    </w:rPr>
  </w:style>
  <w:style w:type="paragraph" w:styleId="Revision">
    <w:name w:val="Revision"/>
    <w:hidden/>
    <w:uiPriority w:val="99"/>
    <w:semiHidden/>
    <w:rsid w:val="002E6498"/>
    <w:pPr>
      <w:spacing w:after="0" w:line="240" w:lineRule="auto"/>
    </w:pPr>
    <w:rPr>
      <w:sz w:val="22"/>
    </w:rPr>
  </w:style>
  <w:style w:type="paragraph" w:styleId="ListParagraph">
    <w:name w:val="List Paragraph"/>
    <w:basedOn w:val="Normal"/>
    <w:uiPriority w:val="34"/>
    <w:qFormat/>
    <w:rsid w:val="002E6498"/>
    <w:pPr>
      <w:ind w:left="720"/>
      <w:contextualSpacing/>
    </w:pPr>
  </w:style>
  <w:style w:type="table" w:styleId="TableGrid">
    <w:name w:val="Table Grid"/>
    <w:basedOn w:val="TableNormal"/>
    <w:uiPriority w:val="39"/>
    <w:rsid w:val="00E24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4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2009/492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bs.sk/dohlad-nad-financnym-trhom/dohlad/platobne-sluzby-a-elektronicke-peniaze1/platobne-institucie-a-aisp1/vykazovacie-a-oznamovacie-povinnosti/" TargetMode="External"/><Relationship Id="rId5" Type="http://schemas.openxmlformats.org/officeDocument/2006/relationships/webSettings" Target="webSettings.xml"/><Relationship Id="rId10" Type="http://schemas.openxmlformats.org/officeDocument/2006/relationships/package" Target="embeddings/Microsoft_Excel_Worksheet.xlsx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NBS_Stud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67AC"/>
      </a:accent1>
      <a:accent2>
        <a:srgbClr val="D15F27"/>
      </a:accent2>
      <a:accent3>
        <a:srgbClr val="A2A9AD"/>
      </a:accent3>
      <a:accent4>
        <a:srgbClr val="005A4E"/>
      </a:accent4>
      <a:accent5>
        <a:srgbClr val="73253E"/>
      </a:accent5>
      <a:accent6>
        <a:srgbClr val="A6835A"/>
      </a:accent6>
      <a:hlink>
        <a:srgbClr val="1C355E"/>
      </a:hlink>
      <a:folHlink>
        <a:srgbClr val="73253E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67B7E-268A-493B-ACB1-F1A56C33C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540</Words>
  <Characters>3081</Characters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2023-04-12T08:36:00Z</dcterms:created>
  <dcterms:modified xsi:type="dcterms:W3CDTF">2023-04-12T08:51:00Z</dcterms:modified>
</cp:coreProperties>
</file>