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8018" w14:textId="77777777" w:rsidR="00DE139F" w:rsidRPr="00825953" w:rsidRDefault="00DE139F" w:rsidP="00B42F36">
      <w:pPr>
        <w:spacing w:after="0"/>
        <w:rPr>
          <w:b/>
          <w:bCs/>
        </w:rPr>
      </w:pPr>
      <w:r w:rsidRPr="00825953">
        <w:rPr>
          <w:b/>
          <w:bCs/>
        </w:rPr>
        <w:t xml:space="preserve">Legislatíva </w:t>
      </w:r>
    </w:p>
    <w:p w14:paraId="23E6765B" w14:textId="77777777" w:rsidR="00DE139F" w:rsidRDefault="00DE139F" w:rsidP="00DE139F">
      <w:pPr>
        <w:spacing w:after="0"/>
        <w:jc w:val="both"/>
      </w:pPr>
    </w:p>
    <w:p w14:paraId="56867836" w14:textId="48108A87" w:rsidR="00DE139F" w:rsidRDefault="00DE139F" w:rsidP="00DE139F">
      <w:pPr>
        <w:spacing w:after="0"/>
        <w:jc w:val="both"/>
      </w:pPr>
      <w:r>
        <w:t xml:space="preserve">• Právny základ k limitovaným poskytovateľom vyplýva z </w:t>
      </w:r>
      <w:r w:rsidRPr="00DE139F">
        <w:rPr>
          <w:b/>
          <w:bCs/>
        </w:rPr>
        <w:t>článku 3 písm. k)</w:t>
      </w:r>
      <w:r>
        <w:t xml:space="preserve"> smernice </w:t>
      </w:r>
      <w:hyperlink r:id="rId7" w:history="1">
        <w:r w:rsidRPr="00DE139F">
          <w:rPr>
            <w:rStyle w:val="Hyperlink"/>
            <w:color w:val="00B0F0"/>
          </w:rPr>
          <w:t>PSD2</w:t>
        </w:r>
      </w:hyperlink>
      <w:r w:rsidR="001041C4">
        <w:rPr>
          <w:rStyle w:val="Hyperlink"/>
          <w:color w:val="00B0F0"/>
        </w:rPr>
        <w:t>,</w:t>
      </w:r>
      <w:r>
        <w:t xml:space="preserve"> ktorý znie: </w:t>
      </w:r>
    </w:p>
    <w:p w14:paraId="4F6C33FB" w14:textId="77777777" w:rsidR="00DE139F" w:rsidRPr="00DE139F" w:rsidRDefault="00DE139F" w:rsidP="00DE139F">
      <w:pPr>
        <w:spacing w:after="0"/>
        <w:jc w:val="both"/>
        <w:rPr>
          <w:i/>
          <w:iCs/>
        </w:rPr>
      </w:pPr>
      <w:r w:rsidRPr="00DE139F">
        <w:rPr>
          <w:i/>
          <w:iCs/>
        </w:rPr>
        <w:t xml:space="preserve">„k) služby založené na osobitných platobných nástrojoch, ktoré sa môžu používať len obmedzene a ktoré spĺňajú jednu z týchto podmienok: </w:t>
      </w:r>
    </w:p>
    <w:p w14:paraId="4548F69C" w14:textId="77777777" w:rsidR="00DE139F" w:rsidRPr="00DE139F" w:rsidRDefault="00DE139F" w:rsidP="00DE139F">
      <w:pPr>
        <w:spacing w:after="0"/>
        <w:jc w:val="both"/>
        <w:rPr>
          <w:i/>
          <w:iCs/>
        </w:rPr>
      </w:pPr>
      <w:r w:rsidRPr="00DE139F">
        <w:rPr>
          <w:i/>
          <w:iCs/>
        </w:rPr>
        <w:t xml:space="preserve">i) nástroje umožňujúce držiteľovi nakupovať tovar alebo služby iba v priestoroch vydavateľa alebo v obmedzenej sieti poskytovateľov služieb na základe priamej obchodnej dohody s profesionálnym vydavateľom; </w:t>
      </w:r>
      <w:r w:rsidRPr="00DE139F">
        <w:rPr>
          <w:b/>
          <w:bCs/>
          <w:i/>
          <w:iCs/>
        </w:rPr>
        <w:t>(aj ako prvý bod)</w:t>
      </w:r>
      <w:r w:rsidRPr="00DE139F">
        <w:rPr>
          <w:i/>
          <w:iCs/>
        </w:rPr>
        <w:t xml:space="preserve"> </w:t>
      </w:r>
    </w:p>
    <w:p w14:paraId="42243E40" w14:textId="77777777" w:rsidR="00DE139F" w:rsidRPr="00DE139F" w:rsidRDefault="00DE139F" w:rsidP="00DE139F">
      <w:pPr>
        <w:spacing w:after="0"/>
        <w:jc w:val="both"/>
        <w:rPr>
          <w:i/>
          <w:iCs/>
        </w:rPr>
      </w:pPr>
      <w:r w:rsidRPr="00DE139F">
        <w:rPr>
          <w:i/>
          <w:iCs/>
        </w:rPr>
        <w:t xml:space="preserve">ii) nástroje, ktoré sa môžu používať iba na kúpu veľmi obmedzeného sortimentu tovaru alebo služieb; </w:t>
      </w:r>
      <w:r w:rsidRPr="00DE139F">
        <w:rPr>
          <w:b/>
          <w:bCs/>
          <w:i/>
          <w:iCs/>
        </w:rPr>
        <w:t xml:space="preserve">(aj ako druhý bod) </w:t>
      </w:r>
    </w:p>
    <w:p w14:paraId="3B6D5E9B" w14:textId="177016B8" w:rsidR="00DE139F" w:rsidRPr="00DE139F" w:rsidRDefault="00DE139F" w:rsidP="00DE139F">
      <w:pPr>
        <w:spacing w:after="0"/>
        <w:jc w:val="both"/>
        <w:rPr>
          <w:i/>
          <w:iCs/>
        </w:rPr>
      </w:pPr>
      <w:r w:rsidRPr="00DE139F">
        <w:rPr>
          <w:i/>
          <w:iCs/>
        </w:rPr>
        <w:t xml:space="preserve">iii) nástroje platné iba v jednom členskom štáte poskytované na žiadosť podniku alebo subjektu verejného sektora a regulované národným alebo regionálnym orgánom verejnej moci na osobitné sociálne alebo daňové účely s cieľom nakúpiť konkrétny tovar alebo služby od dodávateľov, ktorí majú obchodnú dohodu s vydavateľom; </w:t>
      </w:r>
      <w:r w:rsidRPr="00DE139F">
        <w:rPr>
          <w:b/>
          <w:bCs/>
          <w:i/>
          <w:iCs/>
        </w:rPr>
        <w:t>(aj ako tretí bod)“.</w:t>
      </w:r>
      <w:r w:rsidRPr="00DE139F">
        <w:rPr>
          <w:i/>
          <w:iCs/>
        </w:rPr>
        <w:t xml:space="preserve"> </w:t>
      </w:r>
    </w:p>
    <w:p w14:paraId="6570AC2D" w14:textId="77777777" w:rsidR="00825953" w:rsidRDefault="00825953" w:rsidP="00B42F36">
      <w:pPr>
        <w:spacing w:after="0"/>
      </w:pPr>
    </w:p>
    <w:p w14:paraId="39A53A1D" w14:textId="77777777" w:rsidR="00DE139F" w:rsidRDefault="00DE139F" w:rsidP="00B42F36">
      <w:pPr>
        <w:spacing w:after="0"/>
      </w:pPr>
      <w:r>
        <w:t xml:space="preserve">• </w:t>
      </w:r>
      <w:r w:rsidRPr="00DE139F">
        <w:rPr>
          <w:b/>
          <w:bCs/>
        </w:rPr>
        <w:t>Recitály č. 13, 14 a 20</w:t>
      </w:r>
      <w:r>
        <w:t xml:space="preserve"> smernice PSD2 znejú: </w:t>
      </w:r>
    </w:p>
    <w:p w14:paraId="6A34B98C" w14:textId="0374F9F1" w:rsidR="00DE139F" w:rsidRPr="00DE139F" w:rsidRDefault="00DE139F" w:rsidP="00DE139F">
      <w:pPr>
        <w:spacing w:after="0"/>
        <w:jc w:val="both"/>
        <w:rPr>
          <w:i/>
          <w:iCs/>
        </w:rPr>
      </w:pPr>
      <w:r w:rsidRPr="00DE139F">
        <w:rPr>
          <w:i/>
          <w:iCs/>
        </w:rPr>
        <w:t xml:space="preserve">„(13) Spätná väzba z trhu potvrdzuje, že platobné činnosti, na ktoré sa vzťahuje vyňatie pre obmedzenú sieť často zahŕňajú významné objemy a hodnoty platieb a spotrebiteľom sa v rámci nich ponúkajú stovky alebo tisíce rôznych výrobkov a služieb. To nezodpovedá účelu vyňatia obmedzenej siete, ako sa stanovuje v smernici 2007/64/ES a pre používateľov platobných služieb, a predovšetkým pre spotrebiteľov, predstavuje väčšie riziká a žiadnu právnu ochranu a jasné nevýhody pre aktérov na trhu podliehajúcich regulácii. S cieľom pomôcť obmedziť uvedené riziká by nemalo byť možné použiť ten istý nástroj na vykonávanie platobných transakcií s cieľom nakupovať tovar a služby v rámci viac ako jednej obmedzenej siete alebo nakupovať neobmedzenú škálu tovaru a služieb. Platobný nástroj by sa mal považovať za použitý v rámci takejto obmedzenej siete, len ak sa môže používať za týchto okolností: </w:t>
      </w:r>
      <w:r w:rsidRPr="00DE139F">
        <w:rPr>
          <w:b/>
          <w:bCs/>
          <w:i/>
          <w:iCs/>
        </w:rPr>
        <w:t>po prvé</w:t>
      </w:r>
      <w:r w:rsidRPr="00DE139F">
        <w:rPr>
          <w:i/>
          <w:iCs/>
        </w:rPr>
        <w:t xml:space="preserve">, na kúpu tovaru a služieb v konkrétnom maloobchode alebo konkrétnom maloobchodnom reťazci, ak sú zúčastnené subjekty priamo prepojené obchodnou dohodou, ktorá napríklad ustanovuje používanie jedinej platobnej značky, a táto platobná značka sa používa v miestach predaja a uvádza sa – ak je to uskutočniteľné – na platobnom nástroji, ktorý sa tam môže používať; </w:t>
      </w:r>
      <w:r w:rsidRPr="00DE139F">
        <w:rPr>
          <w:b/>
          <w:bCs/>
          <w:i/>
          <w:iCs/>
        </w:rPr>
        <w:t>po druhé</w:t>
      </w:r>
      <w:r w:rsidRPr="00DE139F">
        <w:rPr>
          <w:i/>
          <w:iCs/>
        </w:rPr>
        <w:t xml:space="preserve">, na kúpu veľmi obmedzenej škály tovaru alebo služieb, napríklad ak je rozsah použitia efektívne obmedzený na uzavretý počet funkčne súvisiacich tovaru alebo služieb bez ohľadu na zemepisnú polohu miesta predaja; alebo </w:t>
      </w:r>
      <w:r w:rsidRPr="00DE139F">
        <w:rPr>
          <w:b/>
          <w:bCs/>
          <w:i/>
          <w:iCs/>
        </w:rPr>
        <w:t>po tretie</w:t>
      </w:r>
      <w:r w:rsidRPr="00DE139F">
        <w:rPr>
          <w:i/>
          <w:iCs/>
        </w:rPr>
        <w:t xml:space="preserve">, ak je platobný nástroj predmetom regulácie zo strany národného alebo regionálneho orgánu verejnej moci na osobitné sociálne alebo daňové účely s cieľom nakúpiť konkrétny tovar alebo služby. </w:t>
      </w:r>
    </w:p>
    <w:p w14:paraId="568CFF8A" w14:textId="77777777" w:rsidR="00DE139F" w:rsidRPr="00DE139F" w:rsidRDefault="00DE139F" w:rsidP="00B42F36">
      <w:pPr>
        <w:spacing w:after="0"/>
        <w:rPr>
          <w:i/>
          <w:iCs/>
        </w:rPr>
      </w:pPr>
    </w:p>
    <w:p w14:paraId="02DF1602" w14:textId="77777777" w:rsidR="00DE139F" w:rsidRPr="00DE139F" w:rsidRDefault="00DE139F" w:rsidP="00DE139F">
      <w:pPr>
        <w:spacing w:after="0"/>
        <w:jc w:val="both"/>
        <w:rPr>
          <w:i/>
          <w:iCs/>
        </w:rPr>
      </w:pPr>
      <w:r w:rsidRPr="00DE139F">
        <w:rPr>
          <w:i/>
          <w:iCs/>
        </w:rPr>
        <w:t xml:space="preserve">(14) Medzi platobné nástroje, na ktoré sa vzťahuje vyňatie obmedzenej siete by mohli patriť karty jednotlivých predajní, palivové karty, členské karty, karty na verejnú dopravu, parkovacie karty, stravné lístky alebo poukazy na osobitné služby, na ktoré sa niekedy vzťahuje osobitná daň alebo pracovnoprávny rámec určený na podporu používania takýchto nástrojov s cieľom splniť ciele stanovené v právnych predpisoch v sociálnej oblasti. </w:t>
      </w:r>
      <w:r w:rsidRPr="00DE139F">
        <w:rPr>
          <w:b/>
          <w:bCs/>
          <w:i/>
          <w:iCs/>
        </w:rPr>
        <w:t>Ak sa z takéhoto nástroja na osobitný účel vyvinie nástroj na všeobecný účel, nemalo by sa naďalej uplatňovať vyňatie z rozsahu pôsobnosti tejto smernice</w:t>
      </w:r>
      <w:r w:rsidRPr="00DE139F">
        <w:rPr>
          <w:i/>
          <w:iCs/>
        </w:rPr>
        <w:t>. Nástroje, ktoré sa môžu používať na nakupovanie v obchodoch uvedených obchodníkov, by nemali byť vyňaté z rozsahu pôsobnosti tejto smernice, pretože takéto nástroje sú zvyčajne určené pre sieť poskytovateľov služieb, ktorá sa stále rozširuje. Vyňatie obmedzenej siete by sa malo uplatňovať spolu s povinnosťou potenciálnych poskytovateľov platobných služieb oznámiť činnosti, ktoré patria do jej rozsahu.</w:t>
      </w:r>
    </w:p>
    <w:p w14:paraId="3D7E482F" w14:textId="77777777" w:rsidR="00DE139F" w:rsidRDefault="00DE139F" w:rsidP="00B42F36">
      <w:pPr>
        <w:spacing w:after="0"/>
      </w:pPr>
    </w:p>
    <w:p w14:paraId="550E1C43" w14:textId="77777777" w:rsidR="00DE139F" w:rsidRPr="00DE139F" w:rsidRDefault="00DE139F" w:rsidP="00DE139F">
      <w:pPr>
        <w:spacing w:after="0"/>
        <w:jc w:val="both"/>
        <w:rPr>
          <w:i/>
          <w:iCs/>
        </w:rPr>
      </w:pPr>
      <w:r w:rsidRPr="00DE139F">
        <w:rPr>
          <w:i/>
          <w:iCs/>
        </w:rPr>
        <w:t xml:space="preserve"> (20) Okrem toho je dôležité, aby bola zahrnutá požiadavka na potenciálnych poskytovateľov platobných služieb oznamovať príslušným orgánom činnosti, ktoré poskytujú v rámci obmedzenej siete na základe kritérií stanovených v tejto smernici, ak hodnota platobných transakcií presahuje určitý limit. Príslušné orgány by mali posúdiť, či sa tak oznámené činnosti môžu považovať za činnosti poskytované v rámci obmedzenej siete.“. </w:t>
      </w:r>
    </w:p>
    <w:p w14:paraId="6F27A471" w14:textId="77777777" w:rsidR="00DE139F" w:rsidRDefault="00DE139F" w:rsidP="00B42F36">
      <w:pPr>
        <w:spacing w:after="0"/>
      </w:pPr>
    </w:p>
    <w:p w14:paraId="1EB03448" w14:textId="1FA5D507" w:rsidR="00DE139F" w:rsidRDefault="00DE139F" w:rsidP="00DE139F">
      <w:pPr>
        <w:spacing w:after="0"/>
        <w:jc w:val="both"/>
      </w:pPr>
      <w:r>
        <w:t xml:space="preserve">• </w:t>
      </w:r>
      <w:r w:rsidRPr="00DE139F">
        <w:rPr>
          <w:b/>
          <w:bCs/>
        </w:rPr>
        <w:t>Článok 3 písmeno k)</w:t>
      </w:r>
      <w:r>
        <w:t xml:space="preserve"> smernice PSD2 k limitovaným poskytovateľom sa transponoval do ustanovenia § 1 ods. 3 písm. k) v spojení s § 97a </w:t>
      </w:r>
      <w:hyperlink r:id="rId8" w:history="1">
        <w:r w:rsidRPr="00DE139F">
          <w:rPr>
            <w:rStyle w:val="Hyperlink"/>
            <w:color w:val="00B0F0"/>
          </w:rPr>
          <w:t>zákona o platobných službách</w:t>
        </w:r>
      </w:hyperlink>
      <w:r>
        <w:t xml:space="preserve">. </w:t>
      </w:r>
    </w:p>
    <w:p w14:paraId="698DFA4E" w14:textId="77777777" w:rsidR="00DE139F" w:rsidRDefault="00DE139F" w:rsidP="00B42F36">
      <w:pPr>
        <w:spacing w:after="0"/>
      </w:pPr>
    </w:p>
    <w:p w14:paraId="4AED3E2A" w14:textId="0EA9966D" w:rsidR="00FF04B5" w:rsidRPr="00DE139F" w:rsidRDefault="00DE139F" w:rsidP="00DE139F">
      <w:pPr>
        <w:spacing w:after="0"/>
        <w:jc w:val="both"/>
        <w:rPr>
          <w:b/>
          <w:bCs/>
        </w:rPr>
      </w:pPr>
      <w:r>
        <w:t xml:space="preserve">• Európsky orgán pre bankovníctvo (EBA) vydal k činnosti limitovaných poskytovateľov Usmernenia k vyňatiu obmedzenej siete podľa druhej smernice o platobných službách EBA GL 2022/02 (ďalej len </w:t>
      </w:r>
      <w:r w:rsidR="00562627">
        <w:t>„</w:t>
      </w:r>
      <w:r>
        <w:t>usmernenia EBA GL 2022/02</w:t>
      </w:r>
      <w:r w:rsidR="00562627">
        <w:t>“</w:t>
      </w:r>
      <w:r>
        <w:t xml:space="preserve">). Dôvodom vydania usmernení </w:t>
      </w:r>
      <w:hyperlink r:id="rId9" w:history="1">
        <w:r w:rsidRPr="00DE139F">
          <w:rPr>
            <w:rStyle w:val="Hyperlink"/>
            <w:color w:val="00B0F0"/>
          </w:rPr>
          <w:t>EBA/GL/2022/02</w:t>
        </w:r>
      </w:hyperlink>
      <w:r>
        <w:t xml:space="preserve"> je objasniť rôzny spôsob uplatňovania pravidiel v členských krajinách Európskej únie vrátane ustanovenia jednotných kritérií na posudzovanie limitovaných poskytovateľov. Usmernenia EBA/GL/2022/02 </w:t>
      </w:r>
      <w:r w:rsidRPr="00DE139F">
        <w:rPr>
          <w:b/>
          <w:bCs/>
        </w:rPr>
        <w:t>prinášajú nové požiadavky</w:t>
      </w:r>
      <w:r>
        <w:t xml:space="preserve">, kritéria </w:t>
      </w:r>
      <w:r w:rsidRPr="00DE139F">
        <w:rPr>
          <w:b/>
          <w:bCs/>
        </w:rPr>
        <w:t>a faktory</w:t>
      </w:r>
      <w:r>
        <w:t xml:space="preserve"> pre posúdenie činnosti limitovaných poskytovateľov a majú prispieť k transparentnosti poskytovania služieb limitovaných poskytovateľov. </w:t>
      </w:r>
    </w:p>
    <w:sectPr w:rsidR="00FF04B5" w:rsidRPr="00DE13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6A02" w14:textId="77777777" w:rsidR="004C2962" w:rsidRDefault="004C2962" w:rsidP="0009480D">
      <w:pPr>
        <w:spacing w:after="0" w:line="240" w:lineRule="auto"/>
      </w:pPr>
      <w:r>
        <w:separator/>
      </w:r>
    </w:p>
  </w:endnote>
  <w:endnote w:type="continuationSeparator" w:id="0">
    <w:p w14:paraId="73682022" w14:textId="77777777" w:rsidR="004C2962" w:rsidRDefault="004C2962"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9A00"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2008" w14:textId="77777777" w:rsidR="004C2962" w:rsidRDefault="004C2962" w:rsidP="0009480D">
      <w:pPr>
        <w:spacing w:after="0" w:line="240" w:lineRule="auto"/>
      </w:pPr>
      <w:r>
        <w:separator/>
      </w:r>
    </w:p>
  </w:footnote>
  <w:footnote w:type="continuationSeparator" w:id="0">
    <w:p w14:paraId="6829B301" w14:textId="77777777" w:rsidR="004C2962" w:rsidRDefault="004C2962" w:rsidP="00094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9F"/>
    <w:rsid w:val="00025559"/>
    <w:rsid w:val="0009480D"/>
    <w:rsid w:val="001041C4"/>
    <w:rsid w:val="00130860"/>
    <w:rsid w:val="00153ABD"/>
    <w:rsid w:val="001663B6"/>
    <w:rsid w:val="001A694C"/>
    <w:rsid w:val="001D01FE"/>
    <w:rsid w:val="001D5F9F"/>
    <w:rsid w:val="00225679"/>
    <w:rsid w:val="002B4CD0"/>
    <w:rsid w:val="002C27B7"/>
    <w:rsid w:val="00320CF4"/>
    <w:rsid w:val="003636B5"/>
    <w:rsid w:val="00392F01"/>
    <w:rsid w:val="004100B0"/>
    <w:rsid w:val="00445B18"/>
    <w:rsid w:val="004C2962"/>
    <w:rsid w:val="004D7E2D"/>
    <w:rsid w:val="00501E0C"/>
    <w:rsid w:val="005316F2"/>
    <w:rsid w:val="00562627"/>
    <w:rsid w:val="00564381"/>
    <w:rsid w:val="00591760"/>
    <w:rsid w:val="005939CC"/>
    <w:rsid w:val="005A1CD3"/>
    <w:rsid w:val="005F6FC9"/>
    <w:rsid w:val="006470E3"/>
    <w:rsid w:val="00782367"/>
    <w:rsid w:val="00787300"/>
    <w:rsid w:val="00825953"/>
    <w:rsid w:val="009841D6"/>
    <w:rsid w:val="009A6FA0"/>
    <w:rsid w:val="00A719D6"/>
    <w:rsid w:val="00B00E1F"/>
    <w:rsid w:val="00B31C02"/>
    <w:rsid w:val="00B42F36"/>
    <w:rsid w:val="00BA4BE5"/>
    <w:rsid w:val="00C35E8A"/>
    <w:rsid w:val="00CB7C08"/>
    <w:rsid w:val="00DE139F"/>
    <w:rsid w:val="00E00A97"/>
    <w:rsid w:val="00ED56D3"/>
    <w:rsid w:val="00ED72B5"/>
    <w:rsid w:val="00EE454B"/>
    <w:rsid w:val="00FA25FC"/>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816B"/>
  <w15:chartTrackingRefBased/>
  <w15:docId w15:val="{A265B175-8195-4F40-BBC0-D84EFFEB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81"/>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uiPriority w:val="99"/>
    <w:unhideWhenUsed/>
    <w:rsid w:val="00DE139F"/>
    <w:rPr>
      <w:color w:val="1C355E" w:themeColor="hyperlink"/>
      <w:u w:val="single"/>
    </w:rPr>
  </w:style>
  <w:style w:type="character" w:styleId="UnresolvedMention">
    <w:name w:val="Unresolved Mention"/>
    <w:basedOn w:val="DefaultParagraphFont"/>
    <w:uiPriority w:val="99"/>
    <w:semiHidden/>
    <w:unhideWhenUsed/>
    <w:rsid w:val="00DE139F"/>
    <w:rPr>
      <w:color w:val="605E5C"/>
      <w:shd w:val="clear" w:color="auto" w:fill="E1DFDD"/>
    </w:rPr>
  </w:style>
  <w:style w:type="paragraph" w:styleId="ListParagraph">
    <w:name w:val="List Paragraph"/>
    <w:basedOn w:val="Normal"/>
    <w:uiPriority w:val="34"/>
    <w:qFormat/>
    <w:rsid w:val="00DE139F"/>
    <w:pPr>
      <w:ind w:left="720"/>
      <w:contextualSpacing/>
    </w:pPr>
  </w:style>
  <w:style w:type="paragraph" w:styleId="Revision">
    <w:name w:val="Revision"/>
    <w:hidden/>
    <w:uiPriority w:val="99"/>
    <w:semiHidden/>
    <w:rsid w:val="00025559"/>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pravne-predpisy/SK/ZZ/2009/492/" TargetMode="External"/><Relationship Id="rId3" Type="http://schemas.openxmlformats.org/officeDocument/2006/relationships/settings" Target="settings.xml"/><Relationship Id="rId7" Type="http://schemas.openxmlformats.org/officeDocument/2006/relationships/hyperlink" Target="https://eur-lex.europa.eu/legal-content/SK/TXT/PDF/?uri=CELEX:32015L2366&amp;fro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ba.europa.eu/sites/default/files/document_library/Publications/Guidelines/2022/EBA-GL-2022-02%20GL%20on%20limited%20network%20exclusions/Translations/1030098/GL%20on%20the%20limited%20network%20exclusion%20under%20PSD2_SK_COR.pdf"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Buznová Mariana</dc:creator>
  <cp:keywords/>
  <dc:description/>
  <cp:lastModifiedBy>Buznová Mariana</cp:lastModifiedBy>
  <cp:revision>2</cp:revision>
  <dcterms:created xsi:type="dcterms:W3CDTF">2025-01-22T10:13:00Z</dcterms:created>
  <dcterms:modified xsi:type="dcterms:W3CDTF">2025-01-22T10:13:00Z</dcterms:modified>
</cp:coreProperties>
</file>