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FFC6" w14:textId="7CE27756" w:rsidR="00E20AE0" w:rsidRDefault="00E20AE0"/>
    <w:p w14:paraId="1709093E" w14:textId="50B451AF" w:rsidR="00955F19" w:rsidRDefault="00955F19"/>
    <w:p w14:paraId="51D52BC3" w14:textId="77777777" w:rsidR="00955F19" w:rsidRPr="00955F19" w:rsidRDefault="00955F19" w:rsidP="00955F19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</w:pP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Form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for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the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submission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of a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branch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passport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notification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or a change in a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branch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particulars</w:t>
      </w:r>
      <w:proofErr w:type="spellEnd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notification</w:t>
      </w:r>
      <w:proofErr w:type="spellEnd"/>
    </w:p>
    <w:p w14:paraId="79FCAD2E" w14:textId="77777777" w:rsidR="00955F19" w:rsidRPr="00955F19" w:rsidRDefault="00955F19" w:rsidP="00955F1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Where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credit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institutions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notify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changes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branch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particular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notifications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competent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authorities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of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home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and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host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Member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States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credit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institutions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shall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only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complete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the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parts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of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the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form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which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contain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information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that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has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changed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6D8CB9A4" w14:textId="77777777" w:rsidR="00955F19" w:rsidRPr="00955F19" w:rsidRDefault="00955F19" w:rsidP="00955F19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5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1.   </w:t>
      </w:r>
      <w:proofErr w:type="spellStart"/>
      <w:r w:rsidRPr="00955F1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Contact</w:t>
      </w:r>
      <w:proofErr w:type="spellEnd"/>
      <w:r w:rsidRPr="00955F1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information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2"/>
        <w:gridCol w:w="3034"/>
      </w:tblGrid>
      <w:tr w:rsidR="00955F19" w:rsidRPr="00955F19" w14:paraId="08617B86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AB333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Type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notification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2812"/>
            </w:tblGrid>
            <w:tr w:rsidR="00955F19" w:rsidRPr="00955F19" w14:paraId="4DF3972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77997A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Segoe UI Symbol" w:eastAsia="Times New Roman" w:hAnsi="Segoe UI Symbol" w:cs="Segoe UI Symbol"/>
                      <w:sz w:val="24"/>
                      <w:szCs w:val="24"/>
                      <w:lang w:eastAsia="sk-SK"/>
                    </w:rPr>
                    <w:t>☐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BB994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Initial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passport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notification</w:t>
                  </w:r>
                  <w:proofErr w:type="spellEnd"/>
                </w:p>
              </w:tc>
            </w:tr>
          </w:tbl>
          <w:p w14:paraId="14FA77A8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vanish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2812"/>
            </w:tblGrid>
            <w:tr w:rsidR="00955F19" w:rsidRPr="00955F19" w14:paraId="21EC42D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7CD1C4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Segoe UI Symbol" w:eastAsia="Times New Roman" w:hAnsi="Segoe UI Symbol" w:cs="Segoe UI Symbol"/>
                      <w:sz w:val="24"/>
                      <w:szCs w:val="24"/>
                      <w:lang w:eastAsia="sk-SK"/>
                    </w:rPr>
                    <w:t>☐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2C1DA9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Notification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change in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particulars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notification</w:t>
                  </w:r>
                  <w:proofErr w:type="spellEnd"/>
                </w:p>
              </w:tc>
            </w:tr>
          </w:tbl>
          <w:p w14:paraId="7FCD772A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55F19" w:rsidRPr="00955F19" w14:paraId="1923B832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C817F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Host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State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which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established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0B95C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3477B620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E0B5E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Name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national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reference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code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available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register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maintained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European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Banking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Authority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(EBA):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6C746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382754D5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2C077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LEI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E8313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268CE437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E3CA1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Address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host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State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from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which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documents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may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obtained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8D0BD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3BAEF591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BC7A2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Intended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principal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place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business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host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State: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6476C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64BC1663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F94EA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Date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which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intends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commence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its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0BBA8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4662A2D9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3C5A2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Name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contact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person at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1A061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0AA8AADC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E312D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Telephone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number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17D17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  <w:tr w:rsidR="00955F19" w:rsidRPr="00955F19" w14:paraId="421A9998" w14:textId="77777777" w:rsidTr="00955F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F62B0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lang w:eastAsia="sk-SK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9A638" w14:textId="77777777" w:rsidR="00955F19" w:rsidRPr="00955F19" w:rsidRDefault="00955F19" w:rsidP="00955F1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[to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completed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i/>
                <w:iCs/>
                <w:color w:val="000000"/>
                <w:lang w:eastAsia="sk-SK"/>
              </w:rPr>
              <w:t>]</w:t>
            </w:r>
          </w:p>
        </w:tc>
      </w:tr>
    </w:tbl>
    <w:p w14:paraId="118341C0" w14:textId="77777777" w:rsidR="00955F19" w:rsidRPr="00955F19" w:rsidRDefault="00955F19" w:rsidP="00955F19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5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2.   </w:t>
      </w:r>
      <w:proofErr w:type="spellStart"/>
      <w:r w:rsidRPr="00955F1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Programme</w:t>
      </w:r>
      <w:proofErr w:type="spellEnd"/>
      <w:r w:rsidRPr="00955F1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of </w:t>
      </w:r>
      <w:proofErr w:type="spellStart"/>
      <w:r w:rsidRPr="00955F1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operations</w:t>
      </w:r>
      <w:proofErr w:type="spellEnd"/>
    </w:p>
    <w:p w14:paraId="737E1AF2" w14:textId="77777777" w:rsidR="00955F19" w:rsidRPr="00955F19" w:rsidRDefault="00955F19" w:rsidP="00955F19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5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2.1.   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Types</w:t>
      </w:r>
      <w:proofErr w:type="spellEnd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of business 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envisaged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52AC211E" w14:textId="77777777" w:rsidTr="00955F19">
        <w:tc>
          <w:tcPr>
            <w:tcW w:w="0" w:type="auto"/>
            <w:shd w:val="clear" w:color="auto" w:fill="FFFFFF"/>
            <w:hideMark/>
          </w:tcPr>
          <w:p w14:paraId="47DC9898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D6E199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2.1.1.</w:t>
            </w:r>
          </w:p>
        </w:tc>
        <w:tc>
          <w:tcPr>
            <w:tcW w:w="0" w:type="auto"/>
            <w:shd w:val="clear" w:color="auto" w:fill="FFFFFF"/>
            <w:hideMark/>
          </w:tcPr>
          <w:p w14:paraId="72999760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Description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main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objectives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business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strategy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explanation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how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will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contribute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strategy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where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applicable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group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955F19" w:rsidRPr="00955F19" w14:paraId="0B4BE81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51343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7A1354E0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07F4C99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03"/>
        <w:gridCol w:w="8260"/>
      </w:tblGrid>
      <w:tr w:rsidR="00955F19" w:rsidRPr="00955F19" w14:paraId="7DDF204A" w14:textId="77777777" w:rsidTr="00955F19">
        <w:tc>
          <w:tcPr>
            <w:tcW w:w="0" w:type="auto"/>
            <w:shd w:val="clear" w:color="auto" w:fill="FFFFFF"/>
            <w:hideMark/>
          </w:tcPr>
          <w:p w14:paraId="1EAA551D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8FF09C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2.1.2.</w:t>
            </w:r>
          </w:p>
        </w:tc>
        <w:tc>
          <w:tcPr>
            <w:tcW w:w="0" w:type="auto"/>
            <w:shd w:val="clear" w:color="auto" w:fill="FFFFFF"/>
            <w:hideMark/>
          </w:tcPr>
          <w:p w14:paraId="380E578E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Description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target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customers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counterparties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244"/>
            </w:tblGrid>
            <w:tr w:rsidR="00955F19" w:rsidRPr="00955F19" w14:paraId="08EF3E6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41B5F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lastRenderedPageBreak/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5D3964DB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73E6A4F3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0418FF15" w14:textId="77777777" w:rsidTr="00955F19">
        <w:tc>
          <w:tcPr>
            <w:tcW w:w="0" w:type="auto"/>
            <w:shd w:val="clear" w:color="auto" w:fill="FFFFFF"/>
            <w:hideMark/>
          </w:tcPr>
          <w:p w14:paraId="7252F808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02518D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2.1.3.</w:t>
            </w:r>
          </w:p>
        </w:tc>
        <w:tc>
          <w:tcPr>
            <w:tcW w:w="0" w:type="auto"/>
            <w:shd w:val="clear" w:color="auto" w:fill="FFFFFF"/>
            <w:hideMark/>
          </w:tcPr>
          <w:p w14:paraId="17FF77CD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List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referred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Annex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Directive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2013/36/EU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that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intends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carry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out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host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State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indication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that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will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constitute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business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host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State,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including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intended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start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date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each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(as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accurate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as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possible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).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"/>
              <w:gridCol w:w="2853"/>
              <w:gridCol w:w="2132"/>
              <w:gridCol w:w="1518"/>
              <w:gridCol w:w="1408"/>
            </w:tblGrid>
            <w:tr w:rsidR="00955F19" w:rsidRPr="00955F19" w14:paraId="1812D4F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EA3A467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No.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6E6CE59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Activity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86F861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Activities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that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intends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start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carrying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out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(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fill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in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with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‘S’)/or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cease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carrying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out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(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fill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in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with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‘C’)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7F3AF73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Activities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that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will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constitute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core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business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A9EC5B0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Intended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start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or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cease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date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for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each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activity</w:t>
                  </w:r>
                  <w:proofErr w:type="spellEnd"/>
                </w:p>
              </w:tc>
            </w:tr>
            <w:tr w:rsidR="00955F19" w:rsidRPr="00955F19" w14:paraId="1AD39AB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580F461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F2BEF40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Taking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deposits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other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repayable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funds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386451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114565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4415E8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5B0E71D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2E21646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7D4814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Lending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including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, 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lang w:eastAsia="sk-SK"/>
                    </w:rPr>
                    <w:t>inter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lang w:eastAsia="sk-SK"/>
                    </w:rPr>
                    <w:t>alia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: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consumer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,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agreements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relating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immovable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property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,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factoring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,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with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or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without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recourse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,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financing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commercial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transactions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(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including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forfeiting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43208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D42A47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AB6A0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1F605DA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43332C1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2EFF89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Financial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leasing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0E1A6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91820B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ABB58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7F40A33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F5A66F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0FED733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as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defined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in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Article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 4, point (3)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Directive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(EU) 2015/2366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European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Parliament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Council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fldChar w:fldCharType="begin"/>
                  </w: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instrText xml:space="preserve"> HYPERLINK "https://eur-lex.europa.eu/legal-content/EN/TXT/HTML/?uri=CELEX:32022R0193&amp;from=SK" \l "ntr1-L_2022031EN.01000602-E0001" </w:instrText>
                  </w: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fldChar w:fldCharType="separate"/>
                  </w:r>
                  <w:r w:rsidRPr="00955F19">
                    <w:rPr>
                      <w:rFonts w:ascii="inherit" w:eastAsia="Times New Roman" w:hAnsi="inherit" w:cs="Times New Roman"/>
                      <w:color w:val="337AB7"/>
                      <w:u w:val="single"/>
                      <w:lang w:eastAsia="sk-SK"/>
                    </w:rPr>
                    <w:t> (</w:t>
                  </w:r>
                  <w:r w:rsidRPr="00955F19">
                    <w:rPr>
                      <w:rFonts w:ascii="inherit" w:eastAsia="Times New Roman" w:hAnsi="inherit" w:cs="Times New Roman"/>
                      <w:color w:val="337AB7"/>
                      <w:sz w:val="15"/>
                      <w:szCs w:val="15"/>
                      <w:vertAlign w:val="superscript"/>
                      <w:lang w:eastAsia="sk-SK"/>
                    </w:rPr>
                    <w:t>1</w:t>
                  </w:r>
                  <w:r w:rsidRPr="00955F19">
                    <w:rPr>
                      <w:rFonts w:ascii="inherit" w:eastAsia="Times New Roman" w:hAnsi="inherit" w:cs="Times New Roman"/>
                      <w:color w:val="337AB7"/>
                      <w:u w:val="single"/>
                      <w:lang w:eastAsia="sk-SK"/>
                    </w:rPr>
                    <w:t>)</w:t>
                  </w: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92A86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5442D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9481B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6533FD9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DC16FA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0E6612B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enabling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cash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placed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on a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all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operations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required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for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operating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12A8B5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82F23A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376875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D61CA4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695290F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4b.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54E0B0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enabling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cash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withdrawals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from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all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operations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required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for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operating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A3CC1A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DD743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C122D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F0A2C8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98CBB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4c.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CD37B4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Execution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transactions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,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including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transfers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funds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on a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with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user’s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provider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or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with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another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provider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11D47377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EDEBBA5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1D19F2D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execution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direct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debits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,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including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one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-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off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direct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debits</w:t>
                        </w:r>
                        <w:proofErr w:type="spellEnd"/>
                      </w:p>
                    </w:tc>
                  </w:tr>
                </w:tbl>
                <w:p w14:paraId="1E5E6849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sk-SK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043FF4A6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6D37A02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lastRenderedPageBreak/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9FC6F21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execution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payment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transactions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through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a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payment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card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or a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similar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device</w:t>
                        </w:r>
                      </w:p>
                    </w:tc>
                  </w:tr>
                </w:tbl>
                <w:p w14:paraId="24992580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sk-SK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75DB2107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24064E3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B6B1396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execution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credit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transfers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,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including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standing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orders</w:t>
                        </w:r>
                        <w:proofErr w:type="spellEnd"/>
                      </w:p>
                    </w:tc>
                  </w:tr>
                </w:tbl>
                <w:p w14:paraId="728F0AF1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A3B41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3FB50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210F16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1D5B51A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59FEF2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4d.</w:t>
                  </w:r>
                  <w:hyperlink r:id="rId4" w:anchor="ntr*-L_2022031EN.01000602-E0002" w:history="1">
                    <w:r w:rsidRPr="00955F19">
                      <w:rPr>
                        <w:rFonts w:ascii="inherit" w:eastAsia="Times New Roman" w:hAnsi="inherit" w:cs="Times New Roman"/>
                        <w:color w:val="337AB7"/>
                        <w:u w:val="single"/>
                        <w:lang w:eastAsia="sk-SK"/>
                      </w:rPr>
                      <w:t> (</w:t>
                    </w:r>
                    <w:r w:rsidRPr="00955F19">
                      <w:rPr>
                        <w:rFonts w:ascii="inherit" w:eastAsia="Times New Roman" w:hAnsi="inherit" w:cs="Times New Roman"/>
                        <w:color w:val="337AB7"/>
                        <w:sz w:val="15"/>
                        <w:szCs w:val="15"/>
                        <w:vertAlign w:val="superscript"/>
                        <w:lang w:eastAsia="sk-SK"/>
                      </w:rPr>
                      <w:t>*</w:t>
                    </w:r>
                    <w:r w:rsidRPr="00955F19">
                      <w:rPr>
                        <w:rFonts w:ascii="inherit" w:eastAsia="Times New Roman" w:hAnsi="inherit" w:cs="Times New Roman"/>
                        <w:color w:val="337AB7"/>
                        <w:u w:val="single"/>
                        <w:lang w:eastAsia="sk-SK"/>
                      </w:rPr>
                      <w:t>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B965896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Execution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transactions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where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funds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are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covered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by a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line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for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user: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76B44828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1D1680E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991BAB3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execution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direct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debits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,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including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one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-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off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direct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debits</w:t>
                        </w:r>
                        <w:proofErr w:type="spellEnd"/>
                      </w:p>
                    </w:tc>
                  </w:tr>
                </w:tbl>
                <w:p w14:paraId="7D410C48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sk-SK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3BFEF959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38119C5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AC67EE5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execution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payment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transactions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through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a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payment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card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or a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similar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device</w:t>
                        </w:r>
                      </w:p>
                    </w:tc>
                  </w:tr>
                </w:tbl>
                <w:p w14:paraId="3FB0A339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sk-SK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732EB042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6729E04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624F744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execution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credit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transfers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,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including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standing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orders</w:t>
                        </w:r>
                        <w:proofErr w:type="spellEnd"/>
                      </w:p>
                    </w:tc>
                  </w:tr>
                </w:tbl>
                <w:p w14:paraId="612CDBE5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0FCCD3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59757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FC692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75A0671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358C5B1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4e.</w:t>
                  </w:r>
                  <w:hyperlink r:id="rId5" w:anchor="ntr**-L_2022031EN.01000602-E0003" w:history="1">
                    <w:r w:rsidRPr="00955F19">
                      <w:rPr>
                        <w:rFonts w:ascii="inherit" w:eastAsia="Times New Roman" w:hAnsi="inherit" w:cs="Times New Roman"/>
                        <w:color w:val="337AB7"/>
                        <w:u w:val="single"/>
                        <w:lang w:eastAsia="sk-SK"/>
                      </w:rPr>
                      <w:t> (</w:t>
                    </w:r>
                    <w:r w:rsidRPr="00955F19">
                      <w:rPr>
                        <w:rFonts w:ascii="inherit" w:eastAsia="Times New Roman" w:hAnsi="inherit" w:cs="Times New Roman"/>
                        <w:color w:val="337AB7"/>
                        <w:sz w:val="15"/>
                        <w:szCs w:val="15"/>
                        <w:vertAlign w:val="superscript"/>
                        <w:lang w:eastAsia="sk-SK"/>
                      </w:rPr>
                      <w:t>**</w:t>
                    </w:r>
                    <w:r w:rsidRPr="00955F19">
                      <w:rPr>
                        <w:rFonts w:ascii="inherit" w:eastAsia="Times New Roman" w:hAnsi="inherit" w:cs="Times New Roman"/>
                        <w:color w:val="337AB7"/>
                        <w:u w:val="single"/>
                        <w:lang w:eastAsia="sk-SK"/>
                      </w:rPr>
                      <w:t>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17C0D461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FA4F677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68FDA91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Issuing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payment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instruments</w:t>
                        </w:r>
                        <w:proofErr w:type="spellEnd"/>
                      </w:p>
                    </w:tc>
                  </w:tr>
                </w:tbl>
                <w:p w14:paraId="5BA04FB3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sk-SK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51511FBA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01E644A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8FA31B1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Acquiring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payment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transactions</w:t>
                        </w:r>
                        <w:proofErr w:type="spellEnd"/>
                      </w:p>
                    </w:tc>
                  </w:tr>
                </w:tbl>
                <w:p w14:paraId="303B06E7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38487B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57290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CD0E0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69A7AC4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59F551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4f.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911445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Money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remittance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C399F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F79A1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BDF1EA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A1097C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089283C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4g.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D97D16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initiation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AA06F1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7D189E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A3917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4F2EE11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99BE924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4h.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D4BCBD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information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D8C98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AB9387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EB8B61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2346FBF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47EA498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97D489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Issuing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administering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other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means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payment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(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e.g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.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travellers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’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cheques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bankers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’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drafts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)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insofar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as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such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activity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not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covered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by point 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57905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84A3E1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3DC1F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776AD36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3E2267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BBAAF2B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Guarantees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commitments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DEF83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E5FA2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B97FD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5D0131E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3D8810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999FB5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Trading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for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own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or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for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account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customers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in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any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following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F90D10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1B0A19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33C45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3BF383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1E51A88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7a.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3F8960E4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D379592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871C46C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Money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market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instruments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(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e.g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.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cheques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,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bills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,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certificates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of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deposits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)</w:t>
                        </w:r>
                      </w:p>
                    </w:tc>
                  </w:tr>
                </w:tbl>
                <w:p w14:paraId="1456D5D6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2561F6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FF6FC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E7042C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A351FD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9DD7BD6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7b.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  <w:gridCol w:w="2505"/>
                  </w:tblGrid>
                  <w:tr w:rsidR="00955F19" w:rsidRPr="00955F19" w14:paraId="663A1FFF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0E4AE5D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001F5AA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Foreign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exchange</w:t>
                        </w:r>
                        <w:proofErr w:type="spellEnd"/>
                      </w:p>
                    </w:tc>
                  </w:tr>
                </w:tbl>
                <w:p w14:paraId="5EEA5E0A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0269C9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453445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970DF5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7CE01E3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3135206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lastRenderedPageBreak/>
                    <w:t>7c.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4AC0BC6B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73E7EA2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38CC726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Financial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futures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and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options</w:t>
                        </w:r>
                        <w:proofErr w:type="spellEnd"/>
                      </w:p>
                    </w:tc>
                  </w:tr>
                </w:tbl>
                <w:p w14:paraId="5F0936E0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8B1FB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74BADD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597B6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736363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CF52C15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7d.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2598"/>
                  </w:tblGrid>
                  <w:tr w:rsidR="00955F19" w:rsidRPr="00955F19" w14:paraId="18217C8E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4A8E956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F0C5B8F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Exchange and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interest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-rate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instruments</w:t>
                        </w:r>
                        <w:proofErr w:type="spellEnd"/>
                      </w:p>
                    </w:tc>
                  </w:tr>
                </w:tbl>
                <w:p w14:paraId="57B413F3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26E2C3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A40DA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ABC1C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3D3E743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5CB32CD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7e.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"/>
                    <w:gridCol w:w="2576"/>
                  </w:tblGrid>
                  <w:tr w:rsidR="00955F19" w:rsidRPr="00955F19" w14:paraId="427F6AEB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F68B33F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EB14A63" w14:textId="77777777" w:rsidR="00955F19" w:rsidRPr="00955F19" w:rsidRDefault="00955F19" w:rsidP="00955F19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Transferable</w:t>
                        </w:r>
                        <w:proofErr w:type="spellEnd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 xml:space="preserve"> </w:t>
                        </w:r>
                        <w:proofErr w:type="spellStart"/>
                        <w:r w:rsidRPr="00955F1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sk-SK"/>
                          </w:rPr>
                          <w:t>securities</w:t>
                        </w:r>
                        <w:proofErr w:type="spellEnd"/>
                      </w:p>
                    </w:tc>
                  </w:tr>
                </w:tbl>
                <w:p w14:paraId="2D3580A1" w14:textId="77777777" w:rsidR="00955F19" w:rsidRPr="00955F19" w:rsidRDefault="00955F19" w:rsidP="00955F1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894705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1A76B6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ECF997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10CF218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FD5EF7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30DC4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Participation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in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securities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issues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provision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related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such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issues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B808D7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DC065C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90E333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00378B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468831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DE3B092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Advice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undertakings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on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capital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structure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,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industrial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strategy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,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related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questions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advice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as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well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as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relating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mergers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purchase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undertakings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2F992C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7FB50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51A3B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6132DD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3A7293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D4A3B6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Money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broking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3D6E44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60177C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15DC9C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2985BC3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8D15FD4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3561022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Portfolio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management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advice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7B5A0D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DE70D1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3EDEC0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34E2B3F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A92C4D1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95498D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Safekeeping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administration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of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securities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9336A3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7ECD2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90E65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1A68A55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81DC777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97A12CC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Credit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reference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2FEB9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6E8EC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68FAC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2CC67AB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9CC62A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6B09E2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Safe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custody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services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D66E7A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D21FF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209A2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53DB175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55ED9A8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2D0E2B1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Issuing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electronic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money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2955FE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8D760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F5416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</w:tbl>
          <w:p w14:paraId="171B0EF1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DFE7FB3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26B08F32" w14:textId="77777777" w:rsidTr="00955F19">
        <w:tc>
          <w:tcPr>
            <w:tcW w:w="0" w:type="auto"/>
            <w:shd w:val="clear" w:color="auto" w:fill="FFFFFF"/>
            <w:hideMark/>
          </w:tcPr>
          <w:p w14:paraId="3775E346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9CC7D3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2.1.4.</w:t>
            </w:r>
          </w:p>
        </w:tc>
        <w:tc>
          <w:tcPr>
            <w:tcW w:w="0" w:type="auto"/>
            <w:shd w:val="clear" w:color="auto" w:fill="FFFFFF"/>
            <w:hideMark/>
          </w:tcPr>
          <w:p w14:paraId="59AAC9DC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List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that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credit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intends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carry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out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host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State,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which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provided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Sections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 and B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Annex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Directive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2014/65/EU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European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Parliament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Council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  <w:hyperlink r:id="rId6" w:anchor="ntr2-L_2022031EN.01000602-E0004" w:history="1">
              <w:r w:rsidRPr="00955F19">
                <w:rPr>
                  <w:rFonts w:ascii="inherit" w:eastAsia="Times New Roman" w:hAnsi="inherit" w:cs="Times New Roman"/>
                  <w:color w:val="337AB7"/>
                  <w:sz w:val="24"/>
                  <w:szCs w:val="24"/>
                  <w:u w:val="single"/>
                  <w:lang w:eastAsia="sk-SK"/>
                </w:rPr>
                <w:t>(</w:t>
              </w:r>
              <w:r w:rsidRPr="00955F19">
                <w:rPr>
                  <w:rFonts w:ascii="inherit" w:eastAsia="Times New Roman" w:hAnsi="inherit" w:cs="Times New Roman"/>
                  <w:color w:val="337AB7"/>
                  <w:sz w:val="17"/>
                  <w:szCs w:val="17"/>
                  <w:vertAlign w:val="superscript"/>
                  <w:lang w:eastAsia="sk-SK"/>
                </w:rPr>
                <w:t>2</w:t>
              </w:r>
              <w:r w:rsidRPr="00955F19">
                <w:rPr>
                  <w:rFonts w:ascii="inherit" w:eastAsia="Times New Roman" w:hAnsi="inherit" w:cs="Times New Roman"/>
                  <w:color w:val="337AB7"/>
                  <w:sz w:val="24"/>
                  <w:szCs w:val="24"/>
                  <w:u w:val="single"/>
                  <w:lang w:eastAsia="sk-SK"/>
                </w:rPr>
                <w:t>)</w:t>
              </w:r>
            </w:hyperlink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when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referring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financial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instruments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provided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Section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C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Annex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that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Directive</w:t>
            </w:r>
            <w:proofErr w:type="spellEnd"/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416"/>
              <w:gridCol w:w="416"/>
              <w:gridCol w:w="416"/>
              <w:gridCol w:w="416"/>
              <w:gridCol w:w="415"/>
              <w:gridCol w:w="415"/>
              <w:gridCol w:w="415"/>
              <w:gridCol w:w="415"/>
              <w:gridCol w:w="484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955F19" w:rsidRPr="00955F19" w14:paraId="3B8D1CE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0EDF75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Financial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instruments</w:t>
                  </w:r>
                  <w:proofErr w:type="spellEnd"/>
                </w:p>
              </w:tc>
              <w:tc>
                <w:tcPr>
                  <w:tcW w:w="0" w:type="auto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9F3983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Investment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services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and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activities</w:t>
                  </w:r>
                  <w:proofErr w:type="spellEnd"/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6E1E4C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Ancillary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services</w:t>
                  </w:r>
                  <w:proofErr w:type="spellEnd"/>
                </w:p>
              </w:tc>
            </w:tr>
            <w:tr w:rsidR="00955F19" w:rsidRPr="00955F19" w14:paraId="68E5823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9BAFB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2B04CAF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07A8335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708537C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577949C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8D1955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B11CAF7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A42D96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975B4C1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 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3A3FAC0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A9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4D758CA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B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760A56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B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F774DA0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B 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E9B86E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B 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75554D7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B 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A47FC4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B 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4C65CDE" w14:textId="77777777" w:rsidR="00955F19" w:rsidRPr="00955F19" w:rsidRDefault="00955F19" w:rsidP="00955F19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b/>
                      <w:bCs/>
                      <w:lang w:eastAsia="sk-SK"/>
                    </w:rPr>
                    <w:t>B 7</w:t>
                  </w:r>
                </w:p>
              </w:tc>
            </w:tr>
            <w:tr w:rsidR="00955F19" w:rsidRPr="00955F19" w14:paraId="4C95F12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C27D4F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4E120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1721B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761F2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96370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6C98D7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44CF1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3CA974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1A4F6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265806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AFCDD9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1CDDDB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1BEDF7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28F420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CE45FA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0367F7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5C473A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1AB445F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5198C6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85EA67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225087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1C2598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F2696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9C1DBC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19087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67308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BD565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BA6941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08BDE3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D8D61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99A491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F1A55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608DE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E3094C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8C9A46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35AA6DB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0ED63C3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E18DE7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B1A948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BFF1A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FA676E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2B35B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B9364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64187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0C3B5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F4CA8E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AF7B5C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C0463D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75ECF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A10A7B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BFF8F4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2817D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2781C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451785A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63F9E6E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1ADCE7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D638F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C53589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47B113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5156C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B7A252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EFE00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72091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9D3991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5A3CF4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852E5A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4106D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CB14C4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C7897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9F1A65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87716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065E3A6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26EC802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FBCFF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D66FFE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73A5A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6A6804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C94462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54845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865B13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04D040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5A0EB2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969B97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FDE27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1E5412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30133C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2D605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D5E92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45D9D0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5CC5162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F2B2D1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C2E75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433137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7F4C1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96281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8C636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CF369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6F4C6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D3C33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1F4279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9F77D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6C53E7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FAEA8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04CBF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312553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15B200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E985F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20ADBC0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FEF5E60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D044B4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C820A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098B1D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CEBF19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29F9E8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0903EE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CA432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27E956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360AF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D4EDC2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5608FC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785D0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8965F1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CAC50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CF4946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DEEE40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622BBEA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4122A56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EEF30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EDCF1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22FBCF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712E5D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D0C8F6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E7738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47288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E9B46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B9CD1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FD11A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9B96B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F1391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0287FB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B9B26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AFE088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9A57E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39E0288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33D857A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lastRenderedPageBreak/>
                    <w:t>C9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A36626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368DA8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894958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3A55F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4015F8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3BA22E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DA74A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5B9F7F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A6BB68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144FD3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EB2904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355CC3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D87F3F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3A7BF2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55CDC1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7321A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7F7D80E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801A9C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889C2C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801A8D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2B7904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25FE6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79CB73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22E7D7E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913EF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2A3F2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C6CEA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BF2E20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D67FC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2F0256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1D861F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32664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98B1BD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8B9159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955F19" w:rsidRPr="00955F19" w14:paraId="28CA1CE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CC69887" w14:textId="77777777" w:rsidR="00955F19" w:rsidRPr="00955F19" w:rsidRDefault="00955F19" w:rsidP="00955F19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lang w:eastAsia="sk-SK"/>
                    </w:rPr>
                    <w:t>C11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9D6238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1D932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A370A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265C1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3A79D86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52D5E0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E3D50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3715C6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F24E2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AD289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DFB6E25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1BD3EE3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223BD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05E9BD8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88D874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8CB35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</w:tbl>
          <w:p w14:paraId="6CC39824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E723D37" w14:textId="77777777" w:rsidR="00955F19" w:rsidRPr="00955F19" w:rsidRDefault="00955F19" w:rsidP="00955F1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955F19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sk-SK"/>
        </w:rPr>
        <w:lastRenderedPageBreak/>
        <w:t>Note 1:</w:t>
      </w:r>
    </w:p>
    <w:p w14:paraId="5FA34ED4" w14:textId="77777777" w:rsidR="00955F19" w:rsidRPr="00955F19" w:rsidRDefault="00955F19" w:rsidP="00955F1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Row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and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column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headings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are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references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the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relevant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section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and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item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numbers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Annex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 to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Directive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2014/65/EU (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e.g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A1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refers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 point 1 of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Section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of </w:t>
      </w:r>
      <w:proofErr w:type="spellStart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Annex</w:t>
      </w:r>
      <w:proofErr w:type="spellEnd"/>
      <w:r w:rsidRPr="00955F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I)</w:t>
      </w:r>
    </w:p>
    <w:p w14:paraId="171411C8" w14:textId="77777777" w:rsidR="00955F19" w:rsidRPr="00955F19" w:rsidRDefault="00955F19" w:rsidP="00955F19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5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2.2.   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Structural</w:t>
      </w:r>
      <w:proofErr w:type="spellEnd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organisation</w:t>
      </w:r>
      <w:proofErr w:type="spellEnd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of 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the</w:t>
      </w:r>
      <w:proofErr w:type="spellEnd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branch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7BB98998" w14:textId="77777777" w:rsidTr="00955F19">
        <w:tc>
          <w:tcPr>
            <w:tcW w:w="0" w:type="auto"/>
            <w:shd w:val="clear" w:color="auto" w:fill="FFFFFF"/>
            <w:hideMark/>
          </w:tcPr>
          <w:p w14:paraId="77FAD54F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D6259E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2.2.1.</w:t>
            </w:r>
          </w:p>
        </w:tc>
        <w:tc>
          <w:tcPr>
            <w:tcW w:w="0" w:type="auto"/>
            <w:shd w:val="clear" w:color="auto" w:fill="FFFFFF"/>
            <w:hideMark/>
          </w:tcPr>
          <w:p w14:paraId="6E6E0A38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Description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organisational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structure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including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functional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legal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reporting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lines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position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role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within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corporate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structure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where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applicable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group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955F19" w:rsidRPr="00955F19" w14:paraId="645E373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8AEED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  <w:p w14:paraId="02FAA37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description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can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supported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relevant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documents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such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as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an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organisational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chart</w:t>
                  </w:r>
                  <w:proofErr w:type="spellEnd"/>
                </w:p>
              </w:tc>
            </w:tr>
          </w:tbl>
          <w:p w14:paraId="0D792628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7E08DD9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5F2F035C" w14:textId="77777777" w:rsidTr="00955F19">
        <w:tc>
          <w:tcPr>
            <w:tcW w:w="0" w:type="auto"/>
            <w:shd w:val="clear" w:color="auto" w:fill="FFFFFF"/>
            <w:hideMark/>
          </w:tcPr>
          <w:p w14:paraId="1CAE7A9A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A22555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2.2.2.</w:t>
            </w:r>
          </w:p>
        </w:tc>
        <w:tc>
          <w:tcPr>
            <w:tcW w:w="0" w:type="auto"/>
            <w:shd w:val="clear" w:color="auto" w:fill="FFFFFF"/>
            <w:hideMark/>
          </w:tcPr>
          <w:p w14:paraId="237F2158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Description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governance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internal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control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mechanisms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including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following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information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</w:tbl>
    <w:p w14:paraId="29A0CAD2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06A269E9" w14:textId="77777777" w:rsidTr="00955F19">
        <w:tc>
          <w:tcPr>
            <w:tcW w:w="0" w:type="auto"/>
            <w:shd w:val="clear" w:color="auto" w:fill="FFFFFF"/>
            <w:hideMark/>
          </w:tcPr>
          <w:p w14:paraId="1891B16F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50AC51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2.2.2.1.</w:t>
            </w:r>
          </w:p>
        </w:tc>
        <w:tc>
          <w:tcPr>
            <w:tcW w:w="0" w:type="auto"/>
            <w:shd w:val="clear" w:color="auto" w:fill="FFFFFF"/>
            <w:hideMark/>
          </w:tcPr>
          <w:p w14:paraId="39EF73B9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Risk management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procedures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liquidity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risk management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where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applicable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group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0CC35B5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3740F2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3D948AED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FC5D1E2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3A74000D" w14:textId="77777777" w:rsidTr="00955F19">
        <w:tc>
          <w:tcPr>
            <w:tcW w:w="0" w:type="auto"/>
            <w:shd w:val="clear" w:color="auto" w:fill="FFFFFF"/>
            <w:hideMark/>
          </w:tcPr>
          <w:p w14:paraId="03119476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4791FAC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2.2.2.2.</w:t>
            </w:r>
          </w:p>
        </w:tc>
        <w:tc>
          <w:tcPr>
            <w:tcW w:w="0" w:type="auto"/>
            <w:shd w:val="clear" w:color="auto" w:fill="FFFFFF"/>
            <w:hideMark/>
          </w:tcPr>
          <w:p w14:paraId="45C0FB27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Any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limits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that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apply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particular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lending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3AF2519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6FE6B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7D302122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F32BF61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037482C2" w14:textId="77777777" w:rsidTr="00955F19">
        <w:tc>
          <w:tcPr>
            <w:tcW w:w="0" w:type="auto"/>
            <w:shd w:val="clear" w:color="auto" w:fill="FFFFFF"/>
            <w:hideMark/>
          </w:tcPr>
          <w:p w14:paraId="28E498BF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4C4AD2D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2.2.2.3.</w:t>
            </w:r>
          </w:p>
        </w:tc>
        <w:tc>
          <w:tcPr>
            <w:tcW w:w="0" w:type="auto"/>
            <w:shd w:val="clear" w:color="auto" w:fill="FFFFFF"/>
            <w:hideMark/>
          </w:tcPr>
          <w:p w14:paraId="683496B9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internal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audit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including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person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responsible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these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where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applicable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external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auditor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112F16C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872F5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5689E71F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7C8EE92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2C34C243" w14:textId="77777777" w:rsidTr="00955F19">
        <w:tc>
          <w:tcPr>
            <w:tcW w:w="0" w:type="auto"/>
            <w:shd w:val="clear" w:color="auto" w:fill="FFFFFF"/>
            <w:hideMark/>
          </w:tcPr>
          <w:p w14:paraId="62752350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2D8B0D1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2.2.2.4.</w:t>
            </w:r>
          </w:p>
        </w:tc>
        <w:tc>
          <w:tcPr>
            <w:tcW w:w="0" w:type="auto"/>
            <w:shd w:val="clear" w:color="auto" w:fill="FFFFFF"/>
            <w:hideMark/>
          </w:tcPr>
          <w:p w14:paraId="0E042C54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Anti-money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laundering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including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person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appointed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ensure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compliance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these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1D93779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25434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3D60233D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7F0D5BC7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09F00188" w14:textId="77777777" w:rsidTr="00955F19">
        <w:tc>
          <w:tcPr>
            <w:tcW w:w="0" w:type="auto"/>
            <w:shd w:val="clear" w:color="auto" w:fill="FFFFFF"/>
            <w:hideMark/>
          </w:tcPr>
          <w:p w14:paraId="3E86E086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6038A3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2.2.2.5.</w:t>
            </w:r>
          </w:p>
        </w:tc>
        <w:tc>
          <w:tcPr>
            <w:tcW w:w="0" w:type="auto"/>
            <w:shd w:val="clear" w:color="auto" w:fill="FFFFFF"/>
            <w:hideMark/>
          </w:tcPr>
          <w:p w14:paraId="2169BBC1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Controls over outsourcing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other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third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parties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connection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carried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out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that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are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covered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institution’s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authorisation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78FA30F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549C3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31364489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7777600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61787B80" w14:textId="77777777" w:rsidTr="00955F19">
        <w:tc>
          <w:tcPr>
            <w:tcW w:w="0" w:type="auto"/>
            <w:shd w:val="clear" w:color="auto" w:fill="FFFFFF"/>
            <w:hideMark/>
          </w:tcPr>
          <w:p w14:paraId="1CF6D5AA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46F914E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2.2.3.</w:t>
            </w:r>
          </w:p>
        </w:tc>
        <w:tc>
          <w:tcPr>
            <w:tcW w:w="0" w:type="auto"/>
            <w:shd w:val="clear" w:color="auto" w:fill="FFFFFF"/>
            <w:hideMark/>
          </w:tcPr>
          <w:p w14:paraId="0726402C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Where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expected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carry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out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one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or more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investment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defined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Article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 4(1), point (2),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Directive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2014/65/EU, a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description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following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</w:tbl>
    <w:p w14:paraId="6626BB15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029"/>
        <w:gridCol w:w="8035"/>
      </w:tblGrid>
      <w:tr w:rsidR="00955F19" w:rsidRPr="00955F19" w14:paraId="77E1AE10" w14:textId="77777777" w:rsidTr="00955F19">
        <w:tc>
          <w:tcPr>
            <w:tcW w:w="0" w:type="auto"/>
            <w:shd w:val="clear" w:color="auto" w:fill="FFFFFF"/>
            <w:hideMark/>
          </w:tcPr>
          <w:p w14:paraId="76E40FCF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63F69B8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2.2.3.1.</w:t>
            </w:r>
          </w:p>
        </w:tc>
        <w:tc>
          <w:tcPr>
            <w:tcW w:w="0" w:type="auto"/>
            <w:shd w:val="clear" w:color="auto" w:fill="FFFFFF"/>
            <w:hideMark/>
          </w:tcPr>
          <w:p w14:paraId="69C77283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safeguarding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client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money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assets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019"/>
            </w:tblGrid>
            <w:tr w:rsidR="00955F19" w:rsidRPr="00955F19" w14:paraId="24390FC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80EE0C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3C1E77AB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7DF9EF0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58B1745E" w14:textId="77777777" w:rsidTr="00955F19">
        <w:tc>
          <w:tcPr>
            <w:tcW w:w="0" w:type="auto"/>
            <w:shd w:val="clear" w:color="auto" w:fill="FFFFFF"/>
            <w:hideMark/>
          </w:tcPr>
          <w:p w14:paraId="48E1323B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50E17F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2.2.3.2.</w:t>
            </w:r>
          </w:p>
        </w:tc>
        <w:tc>
          <w:tcPr>
            <w:tcW w:w="0" w:type="auto"/>
            <w:shd w:val="clear" w:color="auto" w:fill="FFFFFF"/>
            <w:hideMark/>
          </w:tcPr>
          <w:p w14:paraId="73E7735D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compliance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obligations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laid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down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Articles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24, 25, 27 and 28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Directive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2014/65/EU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measures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adopted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pursuant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thereto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by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relevant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competent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authorities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host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State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21804BE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41B9C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51EBA8A4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ACA1D5B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801"/>
        <w:gridCol w:w="8264"/>
      </w:tblGrid>
      <w:tr w:rsidR="00955F19" w:rsidRPr="00955F19" w14:paraId="62D6538C" w14:textId="77777777" w:rsidTr="00955F19">
        <w:tc>
          <w:tcPr>
            <w:tcW w:w="0" w:type="auto"/>
            <w:shd w:val="clear" w:color="auto" w:fill="FFFFFF"/>
            <w:hideMark/>
          </w:tcPr>
          <w:p w14:paraId="26D4F26B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64BBDA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2.2.3.3.</w:t>
            </w:r>
          </w:p>
        </w:tc>
        <w:tc>
          <w:tcPr>
            <w:tcW w:w="0" w:type="auto"/>
            <w:shd w:val="clear" w:color="auto" w:fill="FFFFFF"/>
            <w:hideMark/>
          </w:tcPr>
          <w:p w14:paraId="7D8770E2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Internal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code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conduct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including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controls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over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personal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account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dealing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248"/>
            </w:tblGrid>
            <w:tr w:rsidR="00955F19" w:rsidRPr="00955F19" w14:paraId="0E02ED8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02945F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215F5F43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3500344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7FDB4952" w14:textId="77777777" w:rsidTr="00955F19">
        <w:tc>
          <w:tcPr>
            <w:tcW w:w="0" w:type="auto"/>
            <w:shd w:val="clear" w:color="auto" w:fill="FFFFFF"/>
            <w:hideMark/>
          </w:tcPr>
          <w:p w14:paraId="3F9A26A3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C91A60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2.2.3.4.</w:t>
            </w:r>
          </w:p>
        </w:tc>
        <w:tc>
          <w:tcPr>
            <w:tcW w:w="0" w:type="auto"/>
            <w:shd w:val="clear" w:color="auto" w:fill="FFFFFF"/>
            <w:hideMark/>
          </w:tcPr>
          <w:p w14:paraId="1905A294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person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responsible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dealing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complaints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relation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investment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5241D34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3AC91B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4252DC54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A98C195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9"/>
        <w:gridCol w:w="8337"/>
      </w:tblGrid>
      <w:tr w:rsidR="00955F19" w:rsidRPr="00955F19" w14:paraId="4B322386" w14:textId="77777777" w:rsidTr="00955F19">
        <w:tc>
          <w:tcPr>
            <w:tcW w:w="0" w:type="auto"/>
            <w:shd w:val="clear" w:color="auto" w:fill="FFFFFF"/>
            <w:hideMark/>
          </w:tcPr>
          <w:p w14:paraId="71472F18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E68DE0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2.2.3.5.</w:t>
            </w:r>
          </w:p>
        </w:tc>
        <w:tc>
          <w:tcPr>
            <w:tcW w:w="0" w:type="auto"/>
            <w:shd w:val="clear" w:color="auto" w:fill="FFFFFF"/>
            <w:hideMark/>
          </w:tcPr>
          <w:p w14:paraId="71DDA26A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person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appointed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ensure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compliance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relating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investment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55F19" w:rsidRPr="00955F19" w14:paraId="208629D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ACA6C1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55FFA38C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D89BA92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74039BB5" w14:textId="77777777" w:rsidTr="00955F19">
        <w:tc>
          <w:tcPr>
            <w:tcW w:w="0" w:type="auto"/>
            <w:shd w:val="clear" w:color="auto" w:fill="FFFFFF"/>
            <w:hideMark/>
          </w:tcPr>
          <w:p w14:paraId="07C76CA7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89FEE94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2.2.4.</w:t>
            </w:r>
          </w:p>
        </w:tc>
        <w:tc>
          <w:tcPr>
            <w:tcW w:w="0" w:type="auto"/>
            <w:shd w:val="clear" w:color="auto" w:fill="FFFFFF"/>
            <w:hideMark/>
          </w:tcPr>
          <w:p w14:paraId="7A90682C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professional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experience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persons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responsible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management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955F19" w:rsidRPr="00955F19" w14:paraId="48FD4DD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F959F9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38A02DA3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9795242" w14:textId="77777777" w:rsidR="00955F19" w:rsidRPr="00955F19" w:rsidRDefault="00955F19" w:rsidP="00955F19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5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2.3.   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Other</w:t>
      </w:r>
      <w:proofErr w:type="spellEnd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55F1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information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643977F0" w14:textId="77777777" w:rsidTr="00955F19">
        <w:tc>
          <w:tcPr>
            <w:tcW w:w="0" w:type="auto"/>
            <w:shd w:val="clear" w:color="auto" w:fill="FFFFFF"/>
            <w:hideMark/>
          </w:tcPr>
          <w:p w14:paraId="4E559035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8A201D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2.3.1.</w:t>
            </w:r>
          </w:p>
        </w:tc>
        <w:tc>
          <w:tcPr>
            <w:tcW w:w="0" w:type="auto"/>
            <w:shd w:val="clear" w:color="auto" w:fill="FFFFFF"/>
            <w:hideMark/>
          </w:tcPr>
          <w:p w14:paraId="24FED0BA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Financial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plan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containing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forecasts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for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balance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sheet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profit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loss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account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covering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period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three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years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comprising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underlying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assumptions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955F19" w:rsidRPr="00955F19" w14:paraId="4013730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9A416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  <w:p w14:paraId="5ECB80A7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This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information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can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provided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as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an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attachment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notification</w:t>
                  </w:r>
                  <w:proofErr w:type="spellEnd"/>
                </w:p>
              </w:tc>
            </w:tr>
          </w:tbl>
          <w:p w14:paraId="45302CF4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BBB103A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47"/>
        <w:gridCol w:w="8519"/>
      </w:tblGrid>
      <w:tr w:rsidR="00955F19" w:rsidRPr="00955F19" w14:paraId="16EC26AD" w14:textId="77777777" w:rsidTr="00955F19">
        <w:tc>
          <w:tcPr>
            <w:tcW w:w="0" w:type="auto"/>
            <w:shd w:val="clear" w:color="auto" w:fill="FFFFFF"/>
            <w:hideMark/>
          </w:tcPr>
          <w:p w14:paraId="226A32FA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32533F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2.3.2.</w:t>
            </w:r>
          </w:p>
        </w:tc>
        <w:tc>
          <w:tcPr>
            <w:tcW w:w="0" w:type="auto"/>
            <w:shd w:val="clear" w:color="auto" w:fill="FFFFFF"/>
            <w:hideMark/>
          </w:tcPr>
          <w:p w14:paraId="28B07B18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Name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contact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Union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deposit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guarantee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investor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protection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schemes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State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which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institution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is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member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which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cover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activities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together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with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maximum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coverage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investor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protection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scheme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955F19" w:rsidRPr="00955F19" w14:paraId="607BDE3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6F0E14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0B09ED95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7C948180" w14:textId="77777777" w:rsidR="00955F19" w:rsidRPr="00955F19" w:rsidRDefault="00955F19" w:rsidP="00955F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051"/>
        <w:gridCol w:w="8010"/>
      </w:tblGrid>
      <w:tr w:rsidR="00955F19" w:rsidRPr="00955F19" w14:paraId="7BBAE9BE" w14:textId="77777777" w:rsidTr="00955F19">
        <w:tc>
          <w:tcPr>
            <w:tcW w:w="0" w:type="auto"/>
            <w:shd w:val="clear" w:color="auto" w:fill="FFFFFF"/>
            <w:hideMark/>
          </w:tcPr>
          <w:p w14:paraId="683916B7" w14:textId="77777777" w:rsidR="00955F19" w:rsidRPr="00955F19" w:rsidRDefault="00955F19" w:rsidP="0095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295733" w14:textId="77777777" w:rsidR="00955F19" w:rsidRPr="00955F19" w:rsidRDefault="00955F19" w:rsidP="00955F19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2.3.3.</w:t>
            </w:r>
          </w:p>
        </w:tc>
        <w:tc>
          <w:tcPr>
            <w:tcW w:w="0" w:type="auto"/>
            <w:shd w:val="clear" w:color="auto" w:fill="FFFFFF"/>
            <w:hideMark/>
          </w:tcPr>
          <w:p w14:paraId="5A032EDF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Details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branch’s</w:t>
            </w:r>
            <w:proofErr w:type="spellEnd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 xml:space="preserve"> IT </w:t>
            </w:r>
            <w:proofErr w:type="spellStart"/>
            <w:r w:rsidRPr="00955F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arrangements</w:t>
            </w:r>
            <w:proofErr w:type="spellEnd"/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7994"/>
            </w:tblGrid>
            <w:tr w:rsidR="00955F19" w:rsidRPr="00955F19" w14:paraId="3016540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29F7DA" w14:textId="77777777" w:rsidR="00955F19" w:rsidRPr="00955F19" w:rsidRDefault="00955F19" w:rsidP="00955F19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[to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completed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55F19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sk-SK"/>
                    </w:rPr>
                    <w:t>]</w:t>
                  </w:r>
                </w:p>
              </w:tc>
            </w:tr>
          </w:tbl>
          <w:p w14:paraId="63A2E869" w14:textId="77777777" w:rsidR="00955F19" w:rsidRPr="00955F19" w:rsidRDefault="00955F19" w:rsidP="00955F1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0AE8F53" w14:textId="77777777" w:rsidR="00955F19" w:rsidRDefault="00955F19"/>
    <w:sectPr w:rsidR="0095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19"/>
    <w:rsid w:val="00955F19"/>
    <w:rsid w:val="00E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5655"/>
  <w15:chartTrackingRefBased/>
  <w15:docId w15:val="{3627300D-E9A4-49DB-B1E0-21CF850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j-doc-ti">
    <w:name w:val="oj-doc-ti"/>
    <w:basedOn w:val="Normal"/>
    <w:rsid w:val="009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al"/>
    <w:rsid w:val="009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ti-grseq-1">
    <w:name w:val="oj-ti-grseq-1"/>
    <w:basedOn w:val="Normal"/>
    <w:rsid w:val="009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bold">
    <w:name w:val="oj-bold"/>
    <w:basedOn w:val="DefaultParagraphFont"/>
    <w:rsid w:val="00955F19"/>
  </w:style>
  <w:style w:type="paragraph" w:customStyle="1" w:styleId="oj-tbl-txt">
    <w:name w:val="oj-tbl-txt"/>
    <w:basedOn w:val="Normal"/>
    <w:rsid w:val="009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italic">
    <w:name w:val="oj-italic"/>
    <w:basedOn w:val="DefaultParagraphFont"/>
    <w:rsid w:val="00955F19"/>
  </w:style>
  <w:style w:type="paragraph" w:customStyle="1" w:styleId="oj-tbl-hdr">
    <w:name w:val="oj-tbl-hdr"/>
    <w:basedOn w:val="Normal"/>
    <w:rsid w:val="009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955F19"/>
    <w:rPr>
      <w:color w:val="0000FF"/>
      <w:u w:val="single"/>
    </w:rPr>
  </w:style>
  <w:style w:type="character" w:customStyle="1" w:styleId="oj-super">
    <w:name w:val="oj-super"/>
    <w:basedOn w:val="DefaultParagraphFont"/>
    <w:rsid w:val="00955F19"/>
  </w:style>
  <w:style w:type="paragraph" w:customStyle="1" w:styleId="oj-ti-annotation">
    <w:name w:val="oj-ti-annotation"/>
    <w:basedOn w:val="Normal"/>
    <w:rsid w:val="009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HTML/?uri=CELEX:32022R0193&amp;from=SK" TargetMode="External"/><Relationship Id="rId5" Type="http://schemas.openxmlformats.org/officeDocument/2006/relationships/hyperlink" Target="https://eur-lex.europa.eu/legal-content/EN/TXT/HTML/?uri=CELEX:32022R0193&amp;from=SK" TargetMode="External"/><Relationship Id="rId4" Type="http://schemas.openxmlformats.org/officeDocument/2006/relationships/hyperlink" Target="https://eur-lex.europa.eu/legal-content/EN/TXT/HTML/?uri=CELEX:32022R0193&amp;from=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Korčušková Erika</dc:creator>
  <cp:keywords/>
  <dc:description/>
  <cp:lastModifiedBy>Korčušková Erika</cp:lastModifiedBy>
  <cp:revision>1</cp:revision>
  <dcterms:created xsi:type="dcterms:W3CDTF">2023-01-19T09:12:00Z</dcterms:created>
  <dcterms:modified xsi:type="dcterms:W3CDTF">2023-01-19T09:12:00Z</dcterms:modified>
</cp:coreProperties>
</file>