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8051" w14:textId="77777777" w:rsidR="00C548AE" w:rsidRDefault="00C548AE" w:rsidP="00C548AE">
      <w:pPr>
        <w:pStyle w:val="Normlny"/>
        <w:jc w:val="left"/>
        <w:rPr>
          <w:rFonts w:ascii="Verdana" w:hAnsi="Verdana"/>
          <w:b/>
          <w:sz w:val="20"/>
          <w:lang w:val="sk-SK"/>
        </w:rPr>
      </w:pPr>
    </w:p>
    <w:p w14:paraId="4C8B1B99" w14:textId="77777777" w:rsidR="00C548AE" w:rsidRDefault="00C548AE" w:rsidP="001D13DC">
      <w:pPr>
        <w:pStyle w:val="Normlny"/>
        <w:jc w:val="center"/>
        <w:rPr>
          <w:rFonts w:ascii="Verdana" w:hAnsi="Verdana"/>
          <w:b/>
          <w:sz w:val="20"/>
          <w:lang w:val="sk-SK"/>
        </w:rPr>
      </w:pPr>
    </w:p>
    <w:p w14:paraId="11E05D48" w14:textId="710E2391" w:rsidR="00D16A5A" w:rsidRPr="00B43AD1" w:rsidRDefault="00DD7BFA" w:rsidP="00D16A5A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Č</w:t>
      </w:r>
      <w:r w:rsidR="00D16A5A" w:rsidRPr="00B43AD1">
        <w:rPr>
          <w:rFonts w:ascii="Verdana" w:hAnsi="Verdana"/>
          <w:b/>
          <w:sz w:val="20"/>
          <w:lang w:val="sk-SK"/>
        </w:rPr>
        <w:t xml:space="preserve">estné vyhlásenie </w:t>
      </w:r>
    </w:p>
    <w:p w14:paraId="6767547E" w14:textId="77777777" w:rsidR="00D16A5A" w:rsidRPr="00B43AD1" w:rsidRDefault="00D16A5A" w:rsidP="00D16A5A">
      <w:pPr>
        <w:pStyle w:val="Normlny"/>
        <w:jc w:val="center"/>
        <w:rPr>
          <w:rFonts w:ascii="Verdana" w:hAnsi="Verdana"/>
          <w:b/>
          <w:sz w:val="20"/>
          <w:lang w:val="sk-SK"/>
        </w:rPr>
      </w:pPr>
      <w:r w:rsidRPr="00B43AD1">
        <w:rPr>
          <w:rFonts w:ascii="Verdana" w:hAnsi="Verdana"/>
          <w:b/>
          <w:sz w:val="20"/>
          <w:lang w:val="sk-SK"/>
        </w:rPr>
        <w:t xml:space="preserve">osoby s kvalifikovanou účasťou </w:t>
      </w:r>
      <w:r>
        <w:rPr>
          <w:rFonts w:ascii="Verdana" w:hAnsi="Verdana"/>
          <w:b/>
          <w:sz w:val="20"/>
          <w:lang w:val="sk-SK"/>
        </w:rPr>
        <w:t>– právnická osoba</w:t>
      </w:r>
    </w:p>
    <w:p w14:paraId="02214E9A" w14:textId="77777777" w:rsidR="00D16A5A" w:rsidRPr="00B43AD1" w:rsidRDefault="00D16A5A" w:rsidP="00D16A5A">
      <w:pPr>
        <w:pStyle w:val="Normlny"/>
        <w:ind w:left="397" w:hanging="397"/>
        <w:rPr>
          <w:rFonts w:ascii="Cambria" w:hAnsi="Cambria"/>
          <w:bCs/>
          <w:sz w:val="22"/>
          <w:szCs w:val="22"/>
          <w:lang w:val="sk-SK"/>
        </w:rPr>
      </w:pPr>
    </w:p>
    <w:p w14:paraId="52D121D7" w14:textId="77777777" w:rsidR="00D16A5A" w:rsidRPr="00B43AD1" w:rsidRDefault="00D16A5A" w:rsidP="00D16A5A">
      <w:pPr>
        <w:spacing w:after="0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6A5A" w:rsidRPr="00B43AD1" w14:paraId="694C22F8" w14:textId="77777777" w:rsidTr="00BE13FC">
        <w:tc>
          <w:tcPr>
            <w:tcW w:w="4531" w:type="dxa"/>
          </w:tcPr>
          <w:p w14:paraId="3C0C2247" w14:textId="77777777" w:rsidR="00D16A5A" w:rsidRPr="00B43AD1" w:rsidRDefault="00D16A5A" w:rsidP="00BE13FC">
            <w:r w:rsidRPr="00B43AD1">
              <w:t>Názov spoločnosti</w:t>
            </w:r>
          </w:p>
        </w:tc>
        <w:tc>
          <w:tcPr>
            <w:tcW w:w="4531" w:type="dxa"/>
          </w:tcPr>
          <w:p w14:paraId="388BE139" w14:textId="77777777" w:rsidR="00D16A5A" w:rsidRPr="00B43AD1" w:rsidRDefault="00D16A5A" w:rsidP="00BE13FC">
            <w:pPr>
              <w:rPr>
                <w:b/>
                <w:bCs/>
                <w:u w:val="single"/>
              </w:rPr>
            </w:pPr>
          </w:p>
        </w:tc>
      </w:tr>
      <w:tr w:rsidR="00D16A5A" w:rsidRPr="00B43AD1" w14:paraId="53ED3730" w14:textId="77777777" w:rsidTr="00BE13FC">
        <w:tc>
          <w:tcPr>
            <w:tcW w:w="4531" w:type="dxa"/>
          </w:tcPr>
          <w:p w14:paraId="28E66713" w14:textId="77777777" w:rsidR="00D16A5A" w:rsidRPr="00B43AD1" w:rsidRDefault="00D16A5A" w:rsidP="00BE13FC">
            <w:r w:rsidRPr="00B43AD1">
              <w:t>Sídlo spoločnosti</w:t>
            </w:r>
          </w:p>
        </w:tc>
        <w:tc>
          <w:tcPr>
            <w:tcW w:w="4531" w:type="dxa"/>
          </w:tcPr>
          <w:p w14:paraId="2A0D1BB8" w14:textId="77777777" w:rsidR="00D16A5A" w:rsidRPr="00B43AD1" w:rsidRDefault="00D16A5A" w:rsidP="00BE13FC">
            <w:pPr>
              <w:rPr>
                <w:b/>
                <w:bCs/>
                <w:u w:val="single"/>
              </w:rPr>
            </w:pPr>
          </w:p>
        </w:tc>
      </w:tr>
      <w:tr w:rsidR="00D16A5A" w:rsidRPr="00B43AD1" w14:paraId="6FCA51D9" w14:textId="77777777" w:rsidTr="00BE13FC">
        <w:tc>
          <w:tcPr>
            <w:tcW w:w="4531" w:type="dxa"/>
          </w:tcPr>
          <w:p w14:paraId="4E6B0201" w14:textId="77777777" w:rsidR="00D16A5A" w:rsidRPr="00B43AD1" w:rsidRDefault="00D16A5A" w:rsidP="00BE13FC">
            <w:r w:rsidRPr="00B43AD1">
              <w:t>IČO</w:t>
            </w:r>
          </w:p>
        </w:tc>
        <w:tc>
          <w:tcPr>
            <w:tcW w:w="4531" w:type="dxa"/>
          </w:tcPr>
          <w:p w14:paraId="7A38CAD5" w14:textId="77777777" w:rsidR="00D16A5A" w:rsidRPr="00B43AD1" w:rsidRDefault="00D16A5A" w:rsidP="00BE13FC">
            <w:pPr>
              <w:rPr>
                <w:b/>
                <w:bCs/>
                <w:u w:val="single"/>
              </w:rPr>
            </w:pPr>
          </w:p>
        </w:tc>
      </w:tr>
    </w:tbl>
    <w:p w14:paraId="3FB2F76E" w14:textId="77777777" w:rsidR="00D16A5A" w:rsidRPr="00B43AD1" w:rsidRDefault="00D16A5A" w:rsidP="00D16A5A">
      <w:pPr>
        <w:spacing w:after="0"/>
      </w:pPr>
      <w:r w:rsidRPr="00B43AD1">
        <w:t>(ďalej len „spoločnosť“)</w:t>
      </w:r>
    </w:p>
    <w:p w14:paraId="4FCB0BB4" w14:textId="77777777" w:rsidR="00D16A5A" w:rsidRPr="00B43AD1" w:rsidRDefault="00D16A5A" w:rsidP="00D16A5A">
      <w:pPr>
        <w:spacing w:after="0"/>
      </w:pPr>
    </w:p>
    <w:p w14:paraId="3B8CE2F0" w14:textId="74F3CBF4" w:rsidR="00D16A5A" w:rsidRPr="005E1A8D" w:rsidRDefault="00D16A5A" w:rsidP="00D16A5A">
      <w:pPr>
        <w:pStyle w:val="Normlny"/>
        <w:rPr>
          <w:lang w:val="sk-SK"/>
        </w:rPr>
      </w:pPr>
      <w:r w:rsidRPr="00B43AD1">
        <w:rPr>
          <w:rFonts w:ascii="Cambria" w:hAnsi="Cambria"/>
          <w:sz w:val="22"/>
          <w:szCs w:val="22"/>
          <w:lang w:val="sk-SK"/>
        </w:rPr>
        <w:t>v</w:t>
      </w:r>
      <w:r w:rsidR="00A37780">
        <w:rPr>
          <w:rFonts w:ascii="Cambria" w:hAnsi="Cambria"/>
          <w:sz w:val="22"/>
          <w:szCs w:val="22"/>
          <w:lang w:val="sk-SK"/>
        </w:rPr>
        <w:t> </w:t>
      </w:r>
      <w:r w:rsidRPr="00B43AD1">
        <w:rPr>
          <w:rFonts w:ascii="Cambria" w:hAnsi="Cambria"/>
          <w:sz w:val="22"/>
          <w:szCs w:val="22"/>
          <w:lang w:val="sk-SK"/>
        </w:rPr>
        <w:t>súlade</w:t>
      </w:r>
      <w:r w:rsidR="00A37780">
        <w:rPr>
          <w:rFonts w:ascii="Cambria" w:hAnsi="Cambria"/>
          <w:sz w:val="22"/>
          <w:szCs w:val="22"/>
          <w:lang w:val="sk-SK"/>
        </w:rPr>
        <w:t xml:space="preserve"> </w:t>
      </w:r>
      <w:r w:rsidRPr="00B43AD1">
        <w:rPr>
          <w:rFonts w:ascii="Cambria" w:hAnsi="Cambria"/>
          <w:sz w:val="22"/>
          <w:szCs w:val="22"/>
          <w:lang w:val="sk-SK"/>
        </w:rPr>
        <w:t>s</w:t>
      </w:r>
      <w:r w:rsidR="00A37780">
        <w:rPr>
          <w:rFonts w:ascii="Cambria" w:hAnsi="Cambria"/>
          <w:sz w:val="22"/>
          <w:szCs w:val="22"/>
          <w:lang w:val="sk-SK"/>
        </w:rPr>
        <w:t xml:space="preserve"> Usmernením 15 </w:t>
      </w:r>
      <w:r w:rsidR="00A37780" w:rsidRPr="00A37780">
        <w:rPr>
          <w:rFonts w:ascii="Cambria" w:hAnsi="Cambria"/>
          <w:sz w:val="22"/>
          <w:szCs w:val="22"/>
          <w:lang w:val="sk-SK"/>
        </w:rPr>
        <w:t>bo</w:t>
      </w:r>
      <w:r w:rsidR="00A37780">
        <w:rPr>
          <w:rFonts w:ascii="Cambria" w:hAnsi="Cambria"/>
          <w:sz w:val="22"/>
          <w:szCs w:val="22"/>
          <w:lang w:val="sk-SK"/>
        </w:rPr>
        <w:t>d</w:t>
      </w:r>
      <w:r w:rsidR="00A37780" w:rsidRPr="00A37780">
        <w:rPr>
          <w:rFonts w:ascii="Cambria" w:hAnsi="Cambria"/>
          <w:sz w:val="22"/>
          <w:szCs w:val="22"/>
          <w:lang w:val="sk-SK"/>
        </w:rPr>
        <w:t xml:space="preserve"> 15.3.</w:t>
      </w:r>
      <w:r w:rsidR="00A37780">
        <w:rPr>
          <w:rFonts w:ascii="Cambria" w:hAnsi="Cambria"/>
          <w:sz w:val="22"/>
          <w:szCs w:val="22"/>
          <w:lang w:val="sk-SK"/>
        </w:rPr>
        <w:t xml:space="preserve"> </w:t>
      </w:r>
      <w:r w:rsidR="00A37780" w:rsidRPr="00A37780">
        <w:rPr>
          <w:rFonts w:ascii="Cambria" w:hAnsi="Cambria"/>
          <w:sz w:val="22"/>
          <w:szCs w:val="22"/>
          <w:lang w:val="sk-SK"/>
        </w:rPr>
        <w:t>h)</w:t>
      </w:r>
      <w:r w:rsidR="00A37780">
        <w:rPr>
          <w:rFonts w:ascii="Cambria" w:hAnsi="Cambria"/>
          <w:sz w:val="22"/>
          <w:szCs w:val="22"/>
          <w:lang w:val="sk-SK"/>
        </w:rPr>
        <w:t xml:space="preserve"> </w:t>
      </w:r>
      <w:r w:rsidRPr="005E1A8D">
        <w:rPr>
          <w:rFonts w:ascii="Cambria" w:hAnsi="Cambria"/>
          <w:sz w:val="22"/>
          <w:szCs w:val="22"/>
          <w:lang w:val="sk-SK"/>
        </w:rPr>
        <w:t>v spojení s bodom 15.2.</w:t>
      </w:r>
      <w:r w:rsidRPr="00085463">
        <w:rPr>
          <w:rFonts w:ascii="Cambria" w:hAnsi="Cambria"/>
          <w:sz w:val="22"/>
          <w:szCs w:val="22"/>
          <w:lang w:val="sk-SK"/>
        </w:rPr>
        <w:t xml:space="preserve"> c) </w:t>
      </w:r>
      <w:r w:rsidR="00A37780" w:rsidRPr="00A37780">
        <w:rPr>
          <w:rFonts w:ascii="Cambria" w:hAnsi="Cambria"/>
          <w:sz w:val="22"/>
          <w:szCs w:val="22"/>
          <w:lang w:val="sk-SK"/>
        </w:rPr>
        <w:t>časť 4.</w:t>
      </w:r>
      <w:r w:rsidR="000F3B6D">
        <w:rPr>
          <w:rFonts w:ascii="Cambria" w:hAnsi="Cambria"/>
          <w:sz w:val="22"/>
          <w:szCs w:val="22"/>
          <w:lang w:val="sk-SK"/>
        </w:rPr>
        <w:t>1</w:t>
      </w:r>
      <w:r w:rsidR="00A37780" w:rsidRPr="00A37780">
        <w:rPr>
          <w:rFonts w:ascii="Cambria" w:hAnsi="Cambria"/>
          <w:sz w:val="22"/>
          <w:szCs w:val="22"/>
          <w:lang w:val="sk-SK"/>
        </w:rPr>
        <w:t xml:space="preserve">, </w:t>
      </w:r>
      <w:r w:rsidRPr="00085463">
        <w:rPr>
          <w:rFonts w:ascii="Cambria" w:hAnsi="Cambria"/>
          <w:sz w:val="22"/>
          <w:szCs w:val="22"/>
          <w:lang w:val="sk-SK"/>
        </w:rPr>
        <w:t>Usmernenia EBA/GL/2017/09 k informáciám, ktoré sa majú poskytnúť pre udelenie povole</w:t>
      </w:r>
      <w:r>
        <w:rPr>
          <w:rFonts w:ascii="Cambria" w:hAnsi="Cambria"/>
          <w:sz w:val="22"/>
          <w:szCs w:val="22"/>
          <w:lang w:val="sk-SK"/>
        </w:rPr>
        <w:t xml:space="preserve">nia </w:t>
      </w:r>
      <w:r w:rsidRPr="00085463">
        <w:rPr>
          <w:rFonts w:ascii="Cambria" w:hAnsi="Cambria"/>
          <w:sz w:val="22"/>
          <w:szCs w:val="22"/>
          <w:lang w:val="sk-SK"/>
        </w:rPr>
        <w:t xml:space="preserve"> platobným inštitúciám a inštitúciám elektronických peňazí a pre registráciu poskytovateľov služieb informovania o účte </w:t>
      </w:r>
      <w:r w:rsidRPr="00A37780">
        <w:rPr>
          <w:rFonts w:ascii="Cambria" w:hAnsi="Cambria"/>
          <w:sz w:val="22"/>
          <w:szCs w:val="22"/>
          <w:lang w:val="sk-SK"/>
        </w:rPr>
        <w:t>podľa článku 5 ods. 5 smernice (EÚ) 2015/2366 (ďalej len „Usmernenie“) spoločnosť</w:t>
      </w:r>
      <w:r w:rsidRPr="00A37780"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  <w:t xml:space="preserve"> týmto čestne vyhlasuje, že</w:t>
      </w:r>
      <w:r w:rsidRPr="005E1A8D">
        <w:rPr>
          <w:rStyle w:val="Predvolenpsmoodseku"/>
          <w:rFonts w:ascii="Cambria" w:eastAsiaTheme="majorEastAsia" w:hAnsi="Cambria"/>
          <w:bCs/>
          <w:sz w:val="22"/>
          <w:szCs w:val="22"/>
          <w:lang w:val="sk-SK"/>
        </w:rPr>
        <w:t>:</w:t>
      </w:r>
    </w:p>
    <w:p w14:paraId="26EAF645" w14:textId="77777777" w:rsidR="00D16A5A" w:rsidRPr="005E1A8D" w:rsidRDefault="00D16A5A" w:rsidP="00D16A5A">
      <w:pPr>
        <w:spacing w:after="0"/>
        <w:rPr>
          <w:b/>
          <w:bCs/>
          <w:u w:val="single"/>
        </w:rPr>
      </w:pPr>
    </w:p>
    <w:p w14:paraId="1EF669D1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právoplatné odsúdenie za trestný čin ani odsúdenie, ktoré bolo podmienečne odložené, v zmysle ktorých sa podľa platnej právnej úpravy o zahladení odsúdenia, hľadí na spoločnosť akoby nebola odsúdená, ako ani iné prebiehajúce trestné konanie voči spoločnosti, </w:t>
      </w:r>
    </w:p>
    <w:p w14:paraId="6E464BF8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občianskoprávne alebo administratívnoprávne rozhodnutie vo veciach týkajúcich sa postupov posudzovania alebo povoľovania, ktoré bolo prijaté voči spoločnosti, ani akékoľvek správne sankcie alebo opatrenia uplatnené v dôsledku porušenia zákonov alebo predpisov (vrátane zlyhania vo funkcii člena predstavenstva spoločnosti), ako ani iné prebiehajúce konania, ktoré neboli ukončené a v ktorých prebieha odvolacie konanie alebo v ktorých nemohlo byť podané odvolanie,</w:t>
      </w:r>
    </w:p>
    <w:p w14:paraId="19DD4928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konanie vo veci bankrotu, platobnej neschopnosti ani iné podobné konania voči spoločnosti, </w:t>
      </w:r>
    </w:p>
    <w:p w14:paraId="594C31E9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prebiehajúce vyšetrovanie trestnej činnosti voči spoločnosti,</w:t>
      </w:r>
    </w:p>
    <w:p w14:paraId="5B23A231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občianskoprávne alebo administratívnoprávne vyšetrovanie, konanie o nútenom výkone rozhodnutia, neboli uložené sankcie alebo iné vykonávacie rozhodnutia voči spoločnosti, týkajúce sa vecí, ktoré sa môžu považovať za dôležité z hľadiska povoľovania činnosti platobnej inštitúcie alebo riadneho a obozretného riadenia platobnej inštitúcie, </w:t>
      </w:r>
    </w:p>
    <w:p w14:paraId="011216E2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úradné osvedčenie alebo iný rovnocenný dokument dokazujúci, že sa niektorá z udalostí uvedených v pododsekoch i) až v) vyskytla v súvislosti s touto spoločnosťou; ak bolo vydané niektoré z rozhodnutí alebo vedené konanie, ktoré sú uvedené v pododsekoch i) až v), prílohou tohto čestného vyhlásenia je dokument preukazujúci takúto skutočnosť,</w:t>
      </w:r>
      <w:r w:rsidRPr="005E1A8D" w:rsidDel="00090205">
        <w:rPr>
          <w:szCs w:val="22"/>
        </w:rPr>
        <w:t xml:space="preserve"> </w:t>
      </w:r>
    </w:p>
    <w:p w14:paraId="2E0490DA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zamietnutie registrácie, povolenia, členstva alebo udelenia licencie na vykonávanie živnosti, podnikania alebo profesie vo vzťahu k spoločnosti, </w:t>
      </w:r>
    </w:p>
    <w:p w14:paraId="0035D03F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>neexistuje žiadne odňatie, zrušenie alebo ukončenie registrácie, povolenia, členstva alebo licencie na vykonávanie živnosti, podnikania alebo profesie vo vzťahu k spoločnosti,</w:t>
      </w:r>
    </w:p>
    <w:p w14:paraId="2B829FB9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5E1A8D">
        <w:rPr>
          <w:szCs w:val="22"/>
        </w:rPr>
        <w:t xml:space="preserve">neexistuje žiadne vylúčenie orgánom alebo subjektom verejného sektora v sektore finančných služieb, prípadne profesijnou organizáciou alebo združením vo vzťahu k spoločnosti, </w:t>
      </w:r>
    </w:p>
    <w:p w14:paraId="4D363916" w14:textId="77777777" w:rsidR="00D16A5A" w:rsidRPr="00EE5E85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szCs w:val="22"/>
        </w:rPr>
      </w:pPr>
      <w:r w:rsidRPr="00EE5E85">
        <w:rPr>
          <w:szCs w:val="22"/>
        </w:rPr>
        <w:t xml:space="preserve">neexistuje právoplatné odsúdenie v trestnej veci voči žiadnej osobe v zodpovednej funkcii v spoločnosti, ani sa nevedie žiadne trestné konanie, administratívne vyšetrovanie, neboli prijaté sankcie alebo iné vymožiteľné rozhodnutia za zlyhanie v riadení, ani pokiaľ ide o </w:t>
      </w:r>
      <w:r w:rsidRPr="00EE5E85">
        <w:rPr>
          <w:szCs w:val="22"/>
        </w:rPr>
        <w:lastRenderedPageBreak/>
        <w:t>podvody, nečestnosť, korupciu, pranie špinavých peňazí, financovanie terorizmu alebo iné finančné trestné činy, alebo neprijatie primeraných politík a postupov na predchádzanie takým udalostiam, ku ktorým došlo v čase údajného zlyhania, (spolu s podrobnými informáciami o takých prípadoch a o účasti spoločnosti v nich, ak k nim došlo),</w:t>
      </w:r>
    </w:p>
    <w:p w14:paraId="3438EC67" w14:textId="77777777" w:rsidR="00D16A5A" w:rsidRPr="005E1A8D" w:rsidRDefault="00D16A5A" w:rsidP="001B7D89">
      <w:pPr>
        <w:pStyle w:val="ListParagraph"/>
        <w:numPr>
          <w:ilvl w:val="0"/>
          <w:numId w:val="2"/>
        </w:numPr>
        <w:spacing w:after="0"/>
        <w:ind w:left="426" w:hanging="426"/>
        <w:jc w:val="both"/>
        <w:rPr>
          <w:bCs/>
          <w:sz w:val="16"/>
          <w:szCs w:val="16"/>
        </w:rPr>
      </w:pPr>
      <w:r w:rsidRPr="005E1A8D">
        <w:rPr>
          <w:szCs w:val="22"/>
        </w:rPr>
        <w:t>nedošlo k situácii podľa bodu 15.2 c) písm. xi. Usmernenia.</w:t>
      </w:r>
    </w:p>
    <w:p w14:paraId="06D200B1" w14:textId="77777777" w:rsidR="00D16A5A" w:rsidRDefault="00D16A5A" w:rsidP="00D16A5A">
      <w:pPr>
        <w:pStyle w:val="ListParagraph"/>
        <w:spacing w:after="0"/>
        <w:ind w:left="426"/>
        <w:jc w:val="both"/>
        <w:rPr>
          <w:color w:val="FF0000"/>
          <w:szCs w:val="22"/>
          <w:u w:val="single"/>
        </w:rPr>
      </w:pPr>
    </w:p>
    <w:p w14:paraId="41712E8A" w14:textId="77777777" w:rsidR="00D16A5A" w:rsidRDefault="00D16A5A" w:rsidP="00D16A5A">
      <w:pPr>
        <w:pStyle w:val="ListParagraph"/>
        <w:spacing w:after="0"/>
        <w:ind w:left="426"/>
        <w:jc w:val="both"/>
        <w:rPr>
          <w:color w:val="FF0000"/>
          <w:szCs w:val="22"/>
          <w:u w:val="single"/>
        </w:rPr>
      </w:pPr>
    </w:p>
    <w:p w14:paraId="2E132C5D" w14:textId="77777777" w:rsidR="00D16A5A" w:rsidRPr="00B43AD1" w:rsidRDefault="00D16A5A" w:rsidP="00D16A5A">
      <w:pPr>
        <w:pStyle w:val="ListParagraph"/>
        <w:spacing w:after="0"/>
        <w:ind w:left="426"/>
        <w:jc w:val="both"/>
        <w:rPr>
          <w:bCs/>
          <w:sz w:val="16"/>
          <w:szCs w:val="16"/>
        </w:rPr>
      </w:pPr>
      <w:r w:rsidRPr="00B43AD1">
        <w:rPr>
          <w:bCs/>
          <w:sz w:val="20"/>
        </w:rPr>
        <w:t>Miesto                                                        Dátum                                                       Navrhovaná osoba</w:t>
      </w:r>
    </w:p>
    <w:p w14:paraId="3099C986" w14:textId="77777777" w:rsidR="00D16A5A" w:rsidRPr="00B43AD1" w:rsidRDefault="00D16A5A" w:rsidP="00D16A5A">
      <w:pPr>
        <w:pStyle w:val="Normlny"/>
        <w:ind w:left="397" w:hanging="397"/>
        <w:rPr>
          <w:rFonts w:ascii="Cambria" w:hAnsi="Cambria"/>
          <w:bCs/>
          <w:sz w:val="20"/>
          <w:lang w:val="sk-SK"/>
        </w:rPr>
      </w:pPr>
      <w:r w:rsidRPr="00B43AD1">
        <w:rPr>
          <w:rFonts w:ascii="Cambria" w:hAnsi="Cambria"/>
          <w:bCs/>
          <w:sz w:val="20"/>
          <w:lang w:val="sk-SK"/>
        </w:rPr>
        <w:t xml:space="preserve">                                                                                                                                        </w:t>
      </w: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596"/>
        <w:gridCol w:w="2260"/>
        <w:gridCol w:w="705"/>
        <w:gridCol w:w="3039"/>
      </w:tblGrid>
      <w:tr w:rsidR="00D16A5A" w:rsidRPr="00B43AD1" w14:paraId="484FCB7B" w14:textId="77777777" w:rsidTr="00BE13FC">
        <w:trPr>
          <w:jc w:val="center"/>
        </w:trPr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D613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7E2559CF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6244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584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F0156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33CC7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  <w:p w14:paraId="67FF4D92" w14:textId="77777777" w:rsidR="00D16A5A" w:rsidRPr="00B43AD1" w:rsidRDefault="00D16A5A" w:rsidP="00BE13FC">
            <w:pPr>
              <w:pStyle w:val="Normlny"/>
              <w:ind w:left="397" w:hanging="397"/>
              <w:rPr>
                <w:rFonts w:ascii="Calibri Light" w:hAnsi="Calibri Light"/>
                <w:bCs/>
                <w:sz w:val="20"/>
                <w:lang w:val="sk-SK"/>
              </w:rPr>
            </w:pPr>
          </w:p>
        </w:tc>
      </w:tr>
    </w:tbl>
    <w:p w14:paraId="383E07AC" w14:textId="77777777" w:rsidR="00D16A5A" w:rsidRPr="00B43AD1" w:rsidRDefault="00D16A5A" w:rsidP="00D16A5A">
      <w:pPr>
        <w:spacing w:after="0"/>
        <w:jc w:val="both"/>
        <w:rPr>
          <w:szCs w:val="22"/>
        </w:rPr>
      </w:pPr>
    </w:p>
    <w:p w14:paraId="087F2CA5" w14:textId="77777777" w:rsidR="00D16A5A" w:rsidRPr="00B43AD1" w:rsidRDefault="00D16A5A" w:rsidP="00687BDE">
      <w:pPr>
        <w:spacing w:after="0"/>
        <w:jc w:val="both"/>
        <w:rPr>
          <w:szCs w:val="22"/>
        </w:rPr>
      </w:pPr>
    </w:p>
    <w:sectPr w:rsidR="00D16A5A" w:rsidRPr="00B43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6837" w14:textId="77777777" w:rsidR="00D96EAF" w:rsidRDefault="00D96EAF" w:rsidP="0009480D">
      <w:pPr>
        <w:spacing w:after="0" w:line="240" w:lineRule="auto"/>
      </w:pPr>
      <w:r>
        <w:separator/>
      </w:r>
    </w:p>
  </w:endnote>
  <w:endnote w:type="continuationSeparator" w:id="0">
    <w:p w14:paraId="54067FF5" w14:textId="77777777" w:rsidR="00D96EAF" w:rsidRDefault="00D96EAF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E1CE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359E" w14:textId="77777777" w:rsidR="00D96EAF" w:rsidRDefault="00D96EAF" w:rsidP="0009480D">
      <w:pPr>
        <w:spacing w:after="0" w:line="240" w:lineRule="auto"/>
      </w:pPr>
      <w:r>
        <w:separator/>
      </w:r>
    </w:p>
  </w:footnote>
  <w:footnote w:type="continuationSeparator" w:id="0">
    <w:p w14:paraId="510CDDFA" w14:textId="77777777" w:rsidR="00D96EAF" w:rsidRDefault="00D96EAF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316"/>
    <w:multiLevelType w:val="hybridMultilevel"/>
    <w:tmpl w:val="55622720"/>
    <w:lvl w:ilvl="0" w:tplc="7BF4AD14">
      <w:start w:val="1"/>
      <w:numFmt w:val="low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E0762"/>
    <w:multiLevelType w:val="hybridMultilevel"/>
    <w:tmpl w:val="53266792"/>
    <w:lvl w:ilvl="0" w:tplc="7EA020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90448">
    <w:abstractNumId w:val="1"/>
  </w:num>
  <w:num w:numId="2" w16cid:durableId="87997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7"/>
    <w:rsid w:val="000001AE"/>
    <w:rsid w:val="00022AA5"/>
    <w:rsid w:val="00057514"/>
    <w:rsid w:val="00083B9E"/>
    <w:rsid w:val="0009480D"/>
    <w:rsid w:val="000F3B6D"/>
    <w:rsid w:val="00130860"/>
    <w:rsid w:val="001663B6"/>
    <w:rsid w:val="00173DD2"/>
    <w:rsid w:val="001858D8"/>
    <w:rsid w:val="00192329"/>
    <w:rsid w:val="001A694C"/>
    <w:rsid w:val="001B7D89"/>
    <w:rsid w:val="001C68FD"/>
    <w:rsid w:val="001D01FE"/>
    <w:rsid w:val="001D13DC"/>
    <w:rsid w:val="001D5F9F"/>
    <w:rsid w:val="001E26D5"/>
    <w:rsid w:val="001E4631"/>
    <w:rsid w:val="001F6E2A"/>
    <w:rsid w:val="00201852"/>
    <w:rsid w:val="00225679"/>
    <w:rsid w:val="00226C53"/>
    <w:rsid w:val="002B4CD0"/>
    <w:rsid w:val="002B63FA"/>
    <w:rsid w:val="002F2589"/>
    <w:rsid w:val="00307637"/>
    <w:rsid w:val="003636B5"/>
    <w:rsid w:val="00392F01"/>
    <w:rsid w:val="003A46BF"/>
    <w:rsid w:val="003F1064"/>
    <w:rsid w:val="004100B0"/>
    <w:rsid w:val="0041731A"/>
    <w:rsid w:val="00417737"/>
    <w:rsid w:val="00417824"/>
    <w:rsid w:val="00445B18"/>
    <w:rsid w:val="0045034A"/>
    <w:rsid w:val="00463145"/>
    <w:rsid w:val="004B52DB"/>
    <w:rsid w:val="004D7E2D"/>
    <w:rsid w:val="00527A59"/>
    <w:rsid w:val="005316F2"/>
    <w:rsid w:val="00537C83"/>
    <w:rsid w:val="00564381"/>
    <w:rsid w:val="00581823"/>
    <w:rsid w:val="005939CC"/>
    <w:rsid w:val="005A1CD3"/>
    <w:rsid w:val="005B4D30"/>
    <w:rsid w:val="005F0DB9"/>
    <w:rsid w:val="006031A5"/>
    <w:rsid w:val="006204C0"/>
    <w:rsid w:val="00645134"/>
    <w:rsid w:val="006470E3"/>
    <w:rsid w:val="00687BDE"/>
    <w:rsid w:val="006D1F8D"/>
    <w:rsid w:val="007813DA"/>
    <w:rsid w:val="00782367"/>
    <w:rsid w:val="00787300"/>
    <w:rsid w:val="007A0562"/>
    <w:rsid w:val="007D1F79"/>
    <w:rsid w:val="007F1E2F"/>
    <w:rsid w:val="008743B8"/>
    <w:rsid w:val="00883DF1"/>
    <w:rsid w:val="008C4AB2"/>
    <w:rsid w:val="008D705A"/>
    <w:rsid w:val="008E46B6"/>
    <w:rsid w:val="009049DA"/>
    <w:rsid w:val="00917D36"/>
    <w:rsid w:val="00930BA2"/>
    <w:rsid w:val="00935FAD"/>
    <w:rsid w:val="009841D6"/>
    <w:rsid w:val="00995B64"/>
    <w:rsid w:val="009A423D"/>
    <w:rsid w:val="009A6FA0"/>
    <w:rsid w:val="009B279F"/>
    <w:rsid w:val="009C5D42"/>
    <w:rsid w:val="009D2E51"/>
    <w:rsid w:val="00A3489B"/>
    <w:rsid w:val="00A37780"/>
    <w:rsid w:val="00A6171D"/>
    <w:rsid w:val="00A719D6"/>
    <w:rsid w:val="00A734C8"/>
    <w:rsid w:val="00AB0B98"/>
    <w:rsid w:val="00AD6159"/>
    <w:rsid w:val="00B07D08"/>
    <w:rsid w:val="00B31C02"/>
    <w:rsid w:val="00B42F36"/>
    <w:rsid w:val="00B43AD1"/>
    <w:rsid w:val="00B84823"/>
    <w:rsid w:val="00BA29F0"/>
    <w:rsid w:val="00BA4BE5"/>
    <w:rsid w:val="00BA5C77"/>
    <w:rsid w:val="00C35E8A"/>
    <w:rsid w:val="00C548AE"/>
    <w:rsid w:val="00C922B1"/>
    <w:rsid w:val="00CA60E7"/>
    <w:rsid w:val="00CB7C08"/>
    <w:rsid w:val="00CC668C"/>
    <w:rsid w:val="00D07303"/>
    <w:rsid w:val="00D16A5A"/>
    <w:rsid w:val="00D479FD"/>
    <w:rsid w:val="00D5136D"/>
    <w:rsid w:val="00D700F4"/>
    <w:rsid w:val="00D911E8"/>
    <w:rsid w:val="00D96EAF"/>
    <w:rsid w:val="00DD12F4"/>
    <w:rsid w:val="00DD7BFA"/>
    <w:rsid w:val="00E05BF7"/>
    <w:rsid w:val="00E141F1"/>
    <w:rsid w:val="00E20351"/>
    <w:rsid w:val="00E236DC"/>
    <w:rsid w:val="00E44E0D"/>
    <w:rsid w:val="00E63C4A"/>
    <w:rsid w:val="00E93DD5"/>
    <w:rsid w:val="00EB64B4"/>
    <w:rsid w:val="00EF6849"/>
    <w:rsid w:val="00F26137"/>
    <w:rsid w:val="00F553BE"/>
    <w:rsid w:val="00FB509B"/>
    <w:rsid w:val="00FD329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6C37"/>
  <w15:chartTrackingRefBased/>
  <w15:docId w15:val="{66222D6A-8CF7-4833-80ED-51E45D54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307637"/>
    <w:pPr>
      <w:ind w:left="720"/>
      <w:contextualSpacing/>
    </w:pPr>
  </w:style>
  <w:style w:type="paragraph" w:customStyle="1" w:styleId="Normlny">
    <w:name w:val="Normálny"/>
    <w:rsid w:val="001D13D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Predvolenpsmoodseku">
    <w:name w:val="Predvolené písmo odseku"/>
    <w:rsid w:val="001D13DC"/>
  </w:style>
  <w:style w:type="paragraph" w:styleId="CommentText">
    <w:name w:val="annotation text"/>
    <w:basedOn w:val="Normal"/>
    <w:link w:val="CommentTextChar"/>
    <w:uiPriority w:val="99"/>
    <w:semiHidden/>
    <w:unhideWhenUsed/>
    <w:rsid w:val="00687BDE"/>
    <w:pPr>
      <w:autoSpaceDN w:val="0"/>
      <w:spacing w:after="160" w:line="240" w:lineRule="auto"/>
      <w:textAlignment w:val="baseline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BDE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BDE"/>
    <w:pPr>
      <w:autoSpaceDN/>
      <w:spacing w:after="120"/>
      <w:textAlignment w:val="auto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BDE"/>
    <w:rPr>
      <w:rFonts w:ascii="Calibri" w:eastAsia="Calibri" w:hAnsi="Calibri" w:cs="Times New Roman"/>
      <w:b/>
      <w:bCs/>
    </w:rPr>
  </w:style>
  <w:style w:type="table" w:styleId="TableGrid">
    <w:name w:val="Table Grid"/>
    <w:basedOn w:val="TableNormal"/>
    <w:uiPriority w:val="39"/>
    <w:rsid w:val="00F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6137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137"/>
  </w:style>
  <w:style w:type="character" w:styleId="FootnoteReference">
    <w:name w:val="footnote reference"/>
    <w:basedOn w:val="DefaultParagraphFont"/>
    <w:uiPriority w:val="99"/>
    <w:semiHidden/>
    <w:unhideWhenUsed/>
    <w:rsid w:val="00F26137"/>
    <w:rPr>
      <w:vertAlign w:val="superscript"/>
    </w:rPr>
  </w:style>
  <w:style w:type="paragraph" w:customStyle="1" w:styleId="paragraph">
    <w:name w:val="paragraph"/>
    <w:basedOn w:val="Normal"/>
    <w:rsid w:val="00C5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C548AE"/>
  </w:style>
  <w:style w:type="character" w:customStyle="1" w:styleId="eop">
    <w:name w:val="eop"/>
    <w:basedOn w:val="DefaultParagraphFont"/>
    <w:rsid w:val="00C54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Martincová Alena</dc:creator>
  <cp:keywords/>
  <dc:description/>
  <cp:lastModifiedBy>Martincová Alena</cp:lastModifiedBy>
  <cp:revision>5</cp:revision>
  <cp:lastPrinted>2022-05-24T08:17:00Z</cp:lastPrinted>
  <dcterms:created xsi:type="dcterms:W3CDTF">2023-05-31T10:27:00Z</dcterms:created>
  <dcterms:modified xsi:type="dcterms:W3CDTF">2023-05-31T10:47:00Z</dcterms:modified>
</cp:coreProperties>
</file>