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3C64" w14:textId="77777777" w:rsidR="00DE2EF3" w:rsidRPr="00560E41" w:rsidRDefault="00DE2EF3" w:rsidP="00817E17">
      <w:pPr>
        <w:spacing w:after="0"/>
        <w:jc w:val="both"/>
        <w:rPr>
          <w:szCs w:val="22"/>
        </w:rPr>
      </w:pPr>
    </w:p>
    <w:p w14:paraId="40C47DD4" w14:textId="77777777" w:rsidR="00DE2EF3" w:rsidRPr="002C7156" w:rsidRDefault="003129BF" w:rsidP="00817E17">
      <w:pPr>
        <w:spacing w:after="0"/>
        <w:jc w:val="both"/>
        <w:rPr>
          <w:color w:val="FF0000"/>
          <w:szCs w:val="22"/>
        </w:rPr>
      </w:pPr>
      <w:r w:rsidRPr="00560E41">
        <w:rPr>
          <w:color w:val="FF0000"/>
          <w:szCs w:val="22"/>
        </w:rPr>
        <w:t>Otázky orientované na spotrebiteľa k Celoeurópskemu osobnému dôchodkovému produktu:</w:t>
      </w:r>
    </w:p>
    <w:p w14:paraId="4D1BFC04" w14:textId="77777777" w:rsidR="00DE2EF3" w:rsidRPr="00560E41" w:rsidRDefault="00DE2EF3" w:rsidP="00817E17">
      <w:pPr>
        <w:spacing w:after="0"/>
        <w:jc w:val="both"/>
        <w:rPr>
          <w:b/>
          <w:bCs/>
          <w:i/>
          <w:iCs/>
          <w:szCs w:val="22"/>
        </w:rPr>
      </w:pPr>
    </w:p>
    <w:p w14:paraId="45A002AA" w14:textId="77777777" w:rsidR="00DE2EF3" w:rsidRPr="00560E41" w:rsidRDefault="003129BF" w:rsidP="00817E1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Kto môže sporiť a pre koho je tento produkt vlastne určený?</w:t>
      </w:r>
    </w:p>
    <w:p w14:paraId="26930C1A" w14:textId="77777777" w:rsidR="00DE2EF3" w:rsidRPr="00560E41" w:rsidRDefault="00DE2EF3" w:rsidP="00817E17">
      <w:pPr>
        <w:spacing w:after="0"/>
        <w:jc w:val="both"/>
        <w:rPr>
          <w:szCs w:val="22"/>
        </w:rPr>
      </w:pPr>
    </w:p>
    <w:p w14:paraId="7243FAD6" w14:textId="0FCBB764" w:rsidR="00DE2EF3" w:rsidRPr="00560E41" w:rsidRDefault="003129BF" w:rsidP="00817E17">
      <w:pPr>
        <w:pStyle w:val="ListParagraph"/>
        <w:numPr>
          <w:ilvl w:val="0"/>
          <w:numId w:val="2"/>
        </w:numPr>
        <w:spacing w:after="0"/>
        <w:jc w:val="both"/>
        <w:rPr>
          <w:szCs w:val="22"/>
        </w:rPr>
      </w:pPr>
      <w:r w:rsidRPr="00560E41">
        <w:rPr>
          <w:szCs w:val="22"/>
        </w:rPr>
        <w:t>Ktokoľvek môže byť sporiteľom, kto nadobudne plnoletosť, čo znamená každá fyzická osoba</w:t>
      </w:r>
      <w:r w:rsidR="00154ADE" w:rsidRPr="00560E41">
        <w:rPr>
          <w:szCs w:val="22"/>
        </w:rPr>
        <w:t>.</w:t>
      </w:r>
    </w:p>
    <w:p w14:paraId="34FAE931" w14:textId="3783466D" w:rsidR="00DE2EF3" w:rsidRPr="00560E41" w:rsidRDefault="003129BF" w:rsidP="00817E17">
      <w:pPr>
        <w:pStyle w:val="ListParagraph"/>
        <w:numPr>
          <w:ilvl w:val="0"/>
          <w:numId w:val="2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Produkt PEPP nie je viazaný na pracovný pomer, čo znamená že sporiteľom v rámci PEPP môže byť aj nezamestnaná soba, osoba na materskej dovolenke či študent, ktorí si vedia akoukoľvek sumou prispievať na svoj budúci dôchodkový </w:t>
      </w:r>
      <w:r w:rsidR="00154ADE" w:rsidRPr="00560E41">
        <w:rPr>
          <w:szCs w:val="22"/>
        </w:rPr>
        <w:t>príjem.</w:t>
      </w:r>
    </w:p>
    <w:p w14:paraId="18D0C39C" w14:textId="77777777" w:rsidR="00DE2EF3" w:rsidRPr="00560E41" w:rsidRDefault="00DE2EF3" w:rsidP="00817E17">
      <w:pPr>
        <w:spacing w:after="0"/>
        <w:jc w:val="both"/>
        <w:rPr>
          <w:szCs w:val="22"/>
        </w:rPr>
      </w:pPr>
    </w:p>
    <w:p w14:paraId="1BED041A" w14:textId="77777777" w:rsidR="00DE2EF3" w:rsidRPr="00560E41" w:rsidRDefault="00DE2EF3" w:rsidP="00817E17">
      <w:pPr>
        <w:spacing w:after="0"/>
        <w:jc w:val="both"/>
        <w:rPr>
          <w:szCs w:val="22"/>
        </w:rPr>
      </w:pPr>
    </w:p>
    <w:p w14:paraId="6EC31769" w14:textId="77777777" w:rsidR="00DE2EF3" w:rsidRPr="00560E41" w:rsidRDefault="003129BF" w:rsidP="00817E1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Môžem si už začať sporiť v rámci  PEPP?</w:t>
      </w:r>
    </w:p>
    <w:p w14:paraId="4D65F94D" w14:textId="77777777" w:rsidR="00DE2EF3" w:rsidRPr="00560E41" w:rsidRDefault="00DE2EF3" w:rsidP="00817E17">
      <w:pPr>
        <w:pStyle w:val="ListParagraph"/>
        <w:spacing w:after="0"/>
        <w:jc w:val="both"/>
        <w:rPr>
          <w:szCs w:val="22"/>
        </w:rPr>
      </w:pPr>
    </w:p>
    <w:p w14:paraId="5C19D703" w14:textId="64F3EF28" w:rsidR="00DE2EF3" w:rsidRPr="00560E41" w:rsidRDefault="003129BF" w:rsidP="00817E17">
      <w:pPr>
        <w:pStyle w:val="ListParagraph"/>
        <w:numPr>
          <w:ilvl w:val="0"/>
          <w:numId w:val="3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Základný legislatívny rámec, ktorý ustanovuje priamo účinné nariadenie sa stalo účinným 22. marca 2022 a k nemu bol vydaný potrebný slovenský legislatívny rámec v podobe zákona č. 129/2022 Z. z. o celoeurópskom dôchodkovom produkte a o zmene a doplnení niektorých zákonov, ktorý v nadobudol účinnosť 13. apríla 2022. </w:t>
      </w:r>
      <w:r w:rsidR="00154ADE" w:rsidRPr="00560E41">
        <w:rPr>
          <w:szCs w:val="22"/>
        </w:rPr>
        <w:t> V praxi to</w:t>
      </w:r>
      <w:r w:rsidRPr="00560E41">
        <w:rPr>
          <w:szCs w:val="22"/>
        </w:rPr>
        <w:t xml:space="preserve"> znamená, že </w:t>
      </w:r>
      <w:r w:rsidR="00154ADE" w:rsidRPr="00560E41">
        <w:rPr>
          <w:szCs w:val="22"/>
        </w:rPr>
        <w:t xml:space="preserve">príslušné slovenské finančné inštitúcie </w:t>
      </w:r>
      <w:r w:rsidRPr="00560E41">
        <w:rPr>
          <w:szCs w:val="22"/>
        </w:rPr>
        <w:t>si môžu podať žiadosť do Národnej banky Slovenska na udelenie povolenia poskytovať tento dôchodkový produkt.</w:t>
      </w:r>
    </w:p>
    <w:p w14:paraId="665A7856" w14:textId="77777777" w:rsidR="00DE2EF3" w:rsidRPr="00560E41" w:rsidRDefault="00DE2EF3" w:rsidP="00817E17">
      <w:pPr>
        <w:spacing w:after="0"/>
        <w:ind w:left="360"/>
        <w:jc w:val="both"/>
        <w:rPr>
          <w:szCs w:val="22"/>
        </w:rPr>
      </w:pPr>
    </w:p>
    <w:p w14:paraId="37C76AD0" w14:textId="77777777" w:rsidR="00DE2EF3" w:rsidRPr="00560E41" w:rsidRDefault="003129BF" w:rsidP="00817E1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U koho si môžem produkt PEPP zabezpečiť?</w:t>
      </w:r>
    </w:p>
    <w:p w14:paraId="785972CB" w14:textId="77777777" w:rsidR="00DE2EF3" w:rsidRPr="00560E41" w:rsidRDefault="00DE2EF3" w:rsidP="00817E17">
      <w:pPr>
        <w:pStyle w:val="ListParagraph"/>
        <w:spacing w:after="0"/>
        <w:jc w:val="both"/>
        <w:rPr>
          <w:szCs w:val="22"/>
        </w:rPr>
      </w:pPr>
    </w:p>
    <w:p w14:paraId="0409B0D7" w14:textId="1379D4A3" w:rsidR="000B1085" w:rsidRPr="00560E41" w:rsidRDefault="003129BF" w:rsidP="00817E17">
      <w:pPr>
        <w:pStyle w:val="ListParagraph"/>
        <w:numPr>
          <w:ilvl w:val="0"/>
          <w:numId w:val="3"/>
        </w:numPr>
        <w:spacing w:after="0"/>
        <w:jc w:val="both"/>
        <w:rPr>
          <w:szCs w:val="22"/>
        </w:rPr>
      </w:pPr>
      <w:r w:rsidRPr="00560E41">
        <w:rPr>
          <w:szCs w:val="22"/>
        </w:rPr>
        <w:t>Všetky finančné inštitúcie s povolením od Národnej banky Slovenska</w:t>
      </w:r>
      <w:r w:rsidRPr="002C7156">
        <w:rPr>
          <w:szCs w:val="22"/>
        </w:rPr>
        <w:t>,</w:t>
      </w:r>
      <w:r w:rsidR="00330E91" w:rsidRPr="00560E41">
        <w:rPr>
          <w:szCs w:val="22"/>
        </w:rPr>
        <w:t xml:space="preserve"> či iného oprávneného orgánu dohľadu v Európskej únii s obdobnými právomoci národnej finančnej autority</w:t>
      </w:r>
      <w:r w:rsidR="00817E17" w:rsidRPr="00560E41">
        <w:rPr>
          <w:szCs w:val="22"/>
        </w:rPr>
        <w:t>, na poskytovanie PEPP.</w:t>
      </w:r>
      <w:r w:rsidR="00330E91" w:rsidRPr="00560E41">
        <w:rPr>
          <w:szCs w:val="22"/>
        </w:rPr>
        <w:t xml:space="preserve"> </w:t>
      </w:r>
      <w:r w:rsidR="00817E17" w:rsidRPr="00560E41">
        <w:rPr>
          <w:szCs w:val="22"/>
        </w:rPr>
        <w:t xml:space="preserve">Poskytovať PEPP môžu </w:t>
      </w:r>
      <w:r w:rsidR="00330E91" w:rsidRPr="00560E41">
        <w:rPr>
          <w:szCs w:val="22"/>
        </w:rPr>
        <w:t>napríklad</w:t>
      </w:r>
      <w:r w:rsidRPr="00560E41">
        <w:rPr>
          <w:szCs w:val="22"/>
        </w:rPr>
        <w:t xml:space="preserve"> bankové inštitúcie, poisťovne, obchodníci s</w:t>
      </w:r>
      <w:r w:rsidR="000B1085" w:rsidRPr="00560E41">
        <w:rPr>
          <w:szCs w:val="22"/>
        </w:rPr>
        <w:t> </w:t>
      </w:r>
      <w:r w:rsidRPr="00560E41">
        <w:rPr>
          <w:szCs w:val="22"/>
        </w:rPr>
        <w:t>cenný</w:t>
      </w:r>
      <w:r w:rsidR="000B1085" w:rsidRPr="00560E41">
        <w:rPr>
          <w:szCs w:val="22"/>
        </w:rPr>
        <w:t>mi papiermi, správcovské spoločnosti kolektívneho investovania, doplnkové dôchodkové spoločnosti</w:t>
      </w:r>
      <w:r w:rsidR="000B1085" w:rsidRPr="002C7156">
        <w:rPr>
          <w:szCs w:val="22"/>
        </w:rPr>
        <w:t>.</w:t>
      </w:r>
      <w:r w:rsidR="00746404" w:rsidRPr="00560E41">
        <w:rPr>
          <w:szCs w:val="22"/>
        </w:rPr>
        <w:t xml:space="preserve"> </w:t>
      </w:r>
      <w:r w:rsidR="00330E91" w:rsidRPr="00560E41">
        <w:rPr>
          <w:szCs w:val="22"/>
        </w:rPr>
        <w:t xml:space="preserve">Zoznam všetkých oprávnených poskytovateľov PEPP je vedený v centrálnom verejnom registri EIOPA </w:t>
      </w:r>
      <w:hyperlink r:id="rId7" w:history="1">
        <w:r w:rsidR="00817E17" w:rsidRPr="00560E41">
          <w:rPr>
            <w:rStyle w:val="Hyperlink"/>
            <w:szCs w:val="22"/>
          </w:rPr>
          <w:t>https://pepp.eiopa.europa.eu/</w:t>
        </w:r>
      </w:hyperlink>
      <w:r w:rsidR="00817E17" w:rsidRPr="002C7156">
        <w:rPr>
          <w:szCs w:val="22"/>
        </w:rPr>
        <w:t xml:space="preserve">. </w:t>
      </w:r>
    </w:p>
    <w:p w14:paraId="7B36FF1A" w14:textId="07E58774" w:rsidR="000B1085" w:rsidRPr="00560E41" w:rsidRDefault="000B1085">
      <w:pPr>
        <w:pStyle w:val="ListParagraph"/>
        <w:spacing w:after="0"/>
        <w:jc w:val="both"/>
        <w:rPr>
          <w:szCs w:val="22"/>
        </w:rPr>
      </w:pPr>
    </w:p>
    <w:p w14:paraId="0B8A1C20" w14:textId="77777777" w:rsidR="000B1085" w:rsidRPr="00560E41" w:rsidRDefault="000B1085">
      <w:pPr>
        <w:pStyle w:val="ListParagraph"/>
        <w:spacing w:after="0"/>
        <w:jc w:val="both"/>
        <w:rPr>
          <w:szCs w:val="22"/>
        </w:rPr>
      </w:pPr>
    </w:p>
    <w:p w14:paraId="1A95CFA8" w14:textId="3ECD4626" w:rsidR="00DE2EF3" w:rsidRPr="00560E41" w:rsidRDefault="000B1085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Aké investičné možnosti mám k dispozícií pri produkte PEPP?</w:t>
      </w:r>
    </w:p>
    <w:p w14:paraId="6408EDBA" w14:textId="77777777" w:rsidR="000B1085" w:rsidRPr="00560E41" w:rsidRDefault="000B1085">
      <w:pPr>
        <w:pStyle w:val="ListParagraph"/>
        <w:spacing w:after="0"/>
        <w:jc w:val="both"/>
        <w:rPr>
          <w:b/>
          <w:bCs/>
          <w:i/>
          <w:iCs/>
          <w:szCs w:val="22"/>
        </w:rPr>
      </w:pPr>
    </w:p>
    <w:p w14:paraId="24452541" w14:textId="43161812" w:rsidR="000B1085" w:rsidRPr="00560E41" w:rsidRDefault="000B1085">
      <w:pPr>
        <w:pStyle w:val="ListParagraph"/>
        <w:numPr>
          <w:ilvl w:val="0"/>
          <w:numId w:val="5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szCs w:val="22"/>
        </w:rPr>
        <w:t>Všetci oprávnen</w:t>
      </w:r>
      <w:r w:rsidR="00E37C74" w:rsidRPr="00560E41">
        <w:rPr>
          <w:szCs w:val="22"/>
        </w:rPr>
        <w:t>í</w:t>
      </w:r>
      <w:r w:rsidRPr="00560E41">
        <w:rPr>
          <w:szCs w:val="22"/>
        </w:rPr>
        <w:t xml:space="preserve"> poskytovatelia PEPP</w:t>
      </w:r>
      <w:r w:rsidR="00E37C74" w:rsidRPr="00560E41">
        <w:rPr>
          <w:szCs w:val="22"/>
        </w:rPr>
        <w:t xml:space="preserve"> ponúkajú tzv. základný  PEPP produkt –„THE BASIC PEPP“ so základnou jednoduchou investičnou stratégiou a ešte minimálne jednu odlišnú investičnú stratégiu (v maximálnom počet 6), keďže PEPP produkt je investičným produktom dlhodobého charakteru.</w:t>
      </w:r>
    </w:p>
    <w:p w14:paraId="41A65204" w14:textId="43DF1A6D" w:rsidR="00E37C74" w:rsidRPr="00560E41" w:rsidRDefault="00E37C74">
      <w:pPr>
        <w:pStyle w:val="ListParagraph"/>
        <w:numPr>
          <w:ilvl w:val="0"/>
          <w:numId w:val="5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szCs w:val="22"/>
        </w:rPr>
        <w:t>Základný PEPP bude mať predvolenú investičnú stratégiu s použitím techník na zmierňovanie rizika</w:t>
      </w:r>
      <w:r w:rsidR="00154ADE" w:rsidRPr="00560E41">
        <w:rPr>
          <w:szCs w:val="22"/>
        </w:rPr>
        <w:t>,</w:t>
      </w:r>
      <w:r w:rsidRPr="00560E41">
        <w:rPr>
          <w:szCs w:val="22"/>
        </w:rPr>
        <w:t xml:space="preserve"> aby mohol sporiteľ získať späť svoj </w:t>
      </w:r>
      <w:r w:rsidR="00817E17" w:rsidRPr="00560E41">
        <w:rPr>
          <w:szCs w:val="22"/>
        </w:rPr>
        <w:t xml:space="preserve">investovaný </w:t>
      </w:r>
      <w:r w:rsidRPr="00560E41">
        <w:rPr>
          <w:szCs w:val="22"/>
        </w:rPr>
        <w:t>majetok</w:t>
      </w:r>
      <w:r w:rsidR="00817E17" w:rsidRPr="00560E41">
        <w:rPr>
          <w:szCs w:val="22"/>
        </w:rPr>
        <w:t>, prípadne využitím</w:t>
      </w:r>
      <w:r w:rsidRPr="00560E41">
        <w:rPr>
          <w:szCs w:val="22"/>
        </w:rPr>
        <w:t xml:space="preserve"> garancií na investovaný majetok. </w:t>
      </w:r>
      <w:r w:rsidRPr="002C7156">
        <w:rPr>
          <w:szCs w:val="22"/>
        </w:rPr>
        <w:t>V rámci tejto základnej možnosti sú aj stan</w:t>
      </w:r>
      <w:r w:rsidRPr="00560E41">
        <w:rPr>
          <w:szCs w:val="22"/>
        </w:rPr>
        <w:t>ovené limity na náklady a poplatky vo výške maximálne 1%  z majetku.</w:t>
      </w:r>
    </w:p>
    <w:p w14:paraId="51310906" w14:textId="0A483E86" w:rsidR="00E37C74" w:rsidRPr="00560E41" w:rsidRDefault="00E37C74">
      <w:pPr>
        <w:pStyle w:val="ListParagraph"/>
        <w:numPr>
          <w:ilvl w:val="0"/>
          <w:numId w:val="5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szCs w:val="22"/>
        </w:rPr>
        <w:t xml:space="preserve">Sporiteľ bude poučený </w:t>
      </w:r>
      <w:r w:rsidR="00154ADE" w:rsidRPr="00560E41">
        <w:rPr>
          <w:szCs w:val="22"/>
        </w:rPr>
        <w:t>o </w:t>
      </w:r>
      <w:r w:rsidRPr="00560E41">
        <w:rPr>
          <w:szCs w:val="22"/>
        </w:rPr>
        <w:t>všetkých investičných možnostiach pred prijatím záväzného rozhodnutia a bude mu odporučená najvhodnejšia alternatíva zohľadňujú</w:t>
      </w:r>
      <w:r w:rsidR="00A262B8" w:rsidRPr="00560E41">
        <w:rPr>
          <w:szCs w:val="22"/>
        </w:rPr>
        <w:t>c</w:t>
      </w:r>
      <w:r w:rsidRPr="00560E41">
        <w:rPr>
          <w:szCs w:val="22"/>
        </w:rPr>
        <w:t>a jeho vek</w:t>
      </w:r>
      <w:r w:rsidR="00A262B8" w:rsidRPr="00560E41">
        <w:rPr>
          <w:szCs w:val="22"/>
        </w:rPr>
        <w:t>,</w:t>
      </w:r>
      <w:r w:rsidRPr="00560E41">
        <w:rPr>
          <w:szCs w:val="22"/>
        </w:rPr>
        <w:t xml:space="preserve"> investičné znalosti ako aj post</w:t>
      </w:r>
      <w:r w:rsidR="00A262B8" w:rsidRPr="00560E41">
        <w:rPr>
          <w:szCs w:val="22"/>
        </w:rPr>
        <w:t>o</w:t>
      </w:r>
      <w:r w:rsidRPr="00560E41">
        <w:rPr>
          <w:szCs w:val="22"/>
        </w:rPr>
        <w:t>j k z</w:t>
      </w:r>
      <w:r w:rsidR="00A262B8" w:rsidRPr="00560E41">
        <w:rPr>
          <w:szCs w:val="22"/>
        </w:rPr>
        <w:t>n</w:t>
      </w:r>
      <w:r w:rsidRPr="00560E41">
        <w:rPr>
          <w:szCs w:val="22"/>
        </w:rPr>
        <w:t>áš</w:t>
      </w:r>
      <w:r w:rsidR="00A262B8" w:rsidRPr="00560E41">
        <w:rPr>
          <w:szCs w:val="22"/>
        </w:rPr>
        <w:t>anie</w:t>
      </w:r>
      <w:r w:rsidRPr="00560E41">
        <w:rPr>
          <w:szCs w:val="22"/>
        </w:rPr>
        <w:t xml:space="preserve"> r</w:t>
      </w:r>
      <w:r w:rsidR="00A262B8" w:rsidRPr="00560E41">
        <w:rPr>
          <w:szCs w:val="22"/>
        </w:rPr>
        <w:t>i</w:t>
      </w:r>
      <w:r w:rsidRPr="00560E41">
        <w:rPr>
          <w:szCs w:val="22"/>
        </w:rPr>
        <w:t>zika a</w:t>
      </w:r>
      <w:r w:rsidR="00A262B8" w:rsidRPr="00560E41">
        <w:rPr>
          <w:szCs w:val="22"/>
        </w:rPr>
        <w:t xml:space="preserve"> </w:t>
      </w:r>
      <w:r w:rsidRPr="00560E41">
        <w:rPr>
          <w:szCs w:val="22"/>
        </w:rPr>
        <w:t>jeho apetít vy</w:t>
      </w:r>
      <w:r w:rsidR="00A262B8" w:rsidRPr="00560E41">
        <w:rPr>
          <w:szCs w:val="22"/>
        </w:rPr>
        <w:t>s</w:t>
      </w:r>
      <w:r w:rsidRPr="00560E41">
        <w:rPr>
          <w:szCs w:val="22"/>
        </w:rPr>
        <w:t>tavenia sa in</w:t>
      </w:r>
      <w:r w:rsidR="00A262B8" w:rsidRPr="00560E41">
        <w:rPr>
          <w:szCs w:val="22"/>
        </w:rPr>
        <w:t>v</w:t>
      </w:r>
      <w:r w:rsidRPr="00560E41">
        <w:rPr>
          <w:szCs w:val="22"/>
        </w:rPr>
        <w:t>estičnému rizik</w:t>
      </w:r>
      <w:r w:rsidR="00A262B8" w:rsidRPr="00560E41">
        <w:rPr>
          <w:szCs w:val="22"/>
        </w:rPr>
        <w:t xml:space="preserve">u, </w:t>
      </w:r>
      <w:r w:rsidRPr="00560E41">
        <w:rPr>
          <w:szCs w:val="22"/>
        </w:rPr>
        <w:t>ktor</w:t>
      </w:r>
      <w:r w:rsidR="00A262B8" w:rsidRPr="00560E41">
        <w:rPr>
          <w:szCs w:val="22"/>
        </w:rPr>
        <w:t>é</w:t>
      </w:r>
      <w:r w:rsidRPr="00560E41">
        <w:rPr>
          <w:szCs w:val="22"/>
        </w:rPr>
        <w:t xml:space="preserve"> každ</w:t>
      </w:r>
      <w:r w:rsidR="00A262B8" w:rsidRPr="00560E41">
        <w:rPr>
          <w:szCs w:val="22"/>
        </w:rPr>
        <w:t>é</w:t>
      </w:r>
      <w:r w:rsidRPr="00560E41">
        <w:rPr>
          <w:szCs w:val="22"/>
        </w:rPr>
        <w:t xml:space="preserve"> investovanie na f</w:t>
      </w:r>
      <w:r w:rsidR="00A262B8" w:rsidRPr="00560E41">
        <w:rPr>
          <w:szCs w:val="22"/>
        </w:rPr>
        <w:t>i</w:t>
      </w:r>
      <w:r w:rsidRPr="00560E41">
        <w:rPr>
          <w:szCs w:val="22"/>
        </w:rPr>
        <w:t>nančných trh</w:t>
      </w:r>
      <w:r w:rsidR="00A262B8" w:rsidRPr="00560E41">
        <w:rPr>
          <w:szCs w:val="22"/>
        </w:rPr>
        <w:t>och</w:t>
      </w:r>
      <w:r w:rsidRPr="00560E41">
        <w:rPr>
          <w:szCs w:val="22"/>
        </w:rPr>
        <w:t xml:space="preserve"> prináša.</w:t>
      </w:r>
    </w:p>
    <w:p w14:paraId="4721915E" w14:textId="6DD29BB6" w:rsidR="00746404" w:rsidRPr="00560E41" w:rsidRDefault="00746404">
      <w:pPr>
        <w:pStyle w:val="ListParagraph"/>
        <w:spacing w:after="0"/>
        <w:jc w:val="both"/>
        <w:rPr>
          <w:szCs w:val="22"/>
        </w:rPr>
      </w:pPr>
    </w:p>
    <w:p w14:paraId="43AC89C8" w14:textId="77777777" w:rsidR="00746404" w:rsidRPr="00560E41" w:rsidRDefault="00746404">
      <w:pPr>
        <w:pStyle w:val="ListParagraph"/>
        <w:spacing w:after="0"/>
        <w:jc w:val="both"/>
        <w:rPr>
          <w:b/>
          <w:bCs/>
          <w:i/>
          <w:iCs/>
          <w:szCs w:val="22"/>
        </w:rPr>
      </w:pPr>
    </w:p>
    <w:p w14:paraId="78A34D8F" w14:textId="77777777" w:rsidR="00746404" w:rsidRPr="00560E41" w:rsidRDefault="00746404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Kde môžem nájsť zoznam všetkých európskych poskytovateľov PEPP produktu?</w:t>
      </w:r>
    </w:p>
    <w:p w14:paraId="4DB9D7C2" w14:textId="77777777" w:rsidR="00746404" w:rsidRPr="00560E41" w:rsidRDefault="00746404">
      <w:pPr>
        <w:pStyle w:val="ListParagraph"/>
        <w:spacing w:after="0"/>
        <w:jc w:val="both"/>
        <w:rPr>
          <w:b/>
          <w:bCs/>
          <w:i/>
          <w:iCs/>
          <w:szCs w:val="22"/>
        </w:rPr>
      </w:pPr>
    </w:p>
    <w:p w14:paraId="17195D1E" w14:textId="7834F6AF" w:rsidR="00E37C74" w:rsidRPr="00560E41" w:rsidRDefault="00746404">
      <w:pPr>
        <w:pStyle w:val="ListParagraph"/>
        <w:numPr>
          <w:ilvl w:val="0"/>
          <w:numId w:val="7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szCs w:val="22"/>
        </w:rPr>
        <w:t>Plný menný zoznam pos</w:t>
      </w:r>
      <w:r w:rsidR="00DF72A7" w:rsidRPr="00560E41">
        <w:rPr>
          <w:szCs w:val="22"/>
        </w:rPr>
        <w:t>ky</w:t>
      </w:r>
      <w:r w:rsidRPr="00560E41">
        <w:rPr>
          <w:szCs w:val="22"/>
        </w:rPr>
        <w:t>tovateľov produktu P</w:t>
      </w:r>
      <w:r w:rsidR="00DF72A7" w:rsidRPr="00560E41">
        <w:rPr>
          <w:szCs w:val="22"/>
        </w:rPr>
        <w:t>EPP</w:t>
      </w:r>
      <w:r w:rsidRPr="00560E41">
        <w:rPr>
          <w:szCs w:val="22"/>
        </w:rPr>
        <w:t xml:space="preserve"> v rá</w:t>
      </w:r>
      <w:r w:rsidR="00DF72A7" w:rsidRPr="00560E41">
        <w:rPr>
          <w:szCs w:val="22"/>
        </w:rPr>
        <w:t>mci</w:t>
      </w:r>
      <w:r w:rsidRPr="00560E41">
        <w:rPr>
          <w:szCs w:val="22"/>
        </w:rPr>
        <w:t xml:space="preserve"> cele</w:t>
      </w:r>
      <w:r w:rsidR="00DF72A7" w:rsidRPr="00560E41">
        <w:rPr>
          <w:szCs w:val="22"/>
        </w:rPr>
        <w:t>j</w:t>
      </w:r>
      <w:r w:rsidRPr="00560E41">
        <w:rPr>
          <w:szCs w:val="22"/>
        </w:rPr>
        <w:t xml:space="preserve"> </w:t>
      </w:r>
      <w:r w:rsidR="00DF72A7" w:rsidRPr="00560E41">
        <w:rPr>
          <w:szCs w:val="22"/>
        </w:rPr>
        <w:t xml:space="preserve">Európy </w:t>
      </w:r>
      <w:r w:rsidRPr="00560E41">
        <w:rPr>
          <w:szCs w:val="22"/>
        </w:rPr>
        <w:t>je na ve</w:t>
      </w:r>
      <w:r w:rsidR="00DF72A7" w:rsidRPr="00560E41">
        <w:rPr>
          <w:szCs w:val="22"/>
        </w:rPr>
        <w:t xml:space="preserve">rejnom </w:t>
      </w:r>
      <w:r w:rsidRPr="00560E41">
        <w:rPr>
          <w:szCs w:val="22"/>
        </w:rPr>
        <w:t>centrálnom verejnom vedenom na st</w:t>
      </w:r>
      <w:r w:rsidR="00DF72A7" w:rsidRPr="00560E41">
        <w:rPr>
          <w:szCs w:val="22"/>
        </w:rPr>
        <w:t xml:space="preserve">ránke </w:t>
      </w:r>
      <w:r w:rsidRPr="00560E41">
        <w:rPr>
          <w:szCs w:val="22"/>
        </w:rPr>
        <w:t xml:space="preserve">EIOPA </w:t>
      </w:r>
      <w:hyperlink r:id="rId8" w:history="1">
        <w:r w:rsidR="00DF72A7" w:rsidRPr="00560E41">
          <w:rPr>
            <w:rStyle w:val="Hyperlink"/>
            <w:szCs w:val="22"/>
          </w:rPr>
          <w:t>https://pepp.eiopa.europa.eu/</w:t>
        </w:r>
      </w:hyperlink>
      <w:r w:rsidR="00DF72A7" w:rsidRPr="002C7156">
        <w:rPr>
          <w:szCs w:val="22"/>
        </w:rPr>
        <w:t>, Európskeho orgánu pre poisťovníctvo a</w:t>
      </w:r>
      <w:r w:rsidR="008B6116" w:rsidRPr="00560E41">
        <w:rPr>
          <w:szCs w:val="22"/>
        </w:rPr>
        <w:t xml:space="preserve"> dôchodkové poistenie zamestnancov </w:t>
      </w:r>
      <w:r w:rsidR="00DF72A7" w:rsidRPr="00560E41">
        <w:rPr>
          <w:szCs w:val="22"/>
        </w:rPr>
        <w:t>ako európsky orgán dohľadu v sektore poisťovníctva a  dôchodkového sporenia.</w:t>
      </w:r>
    </w:p>
    <w:p w14:paraId="5D1C42F8" w14:textId="25AE79B2" w:rsidR="00DF72A7" w:rsidRPr="00560E41" w:rsidRDefault="00DF72A7">
      <w:pPr>
        <w:pStyle w:val="ListParagraph"/>
        <w:numPr>
          <w:ilvl w:val="0"/>
          <w:numId w:val="7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szCs w:val="22"/>
        </w:rPr>
        <w:t>Register obsahuje zoznam každého registrovaného poskytovateľa produktu PEPP, spolu s jedinečným  registračným číslom, označením príslušnej finančnej autority, ktorá povolenie vydala, s dátumom registrácie, a kompletným zoznamom európskych krajín</w:t>
      </w:r>
      <w:r w:rsidR="00915AE2" w:rsidRPr="00560E41">
        <w:rPr>
          <w:szCs w:val="22"/>
        </w:rPr>
        <w:t xml:space="preserve">, </w:t>
      </w:r>
      <w:r w:rsidRPr="00560E41">
        <w:rPr>
          <w:szCs w:val="22"/>
        </w:rPr>
        <w:t>v ktorých sa daný produkt bude ponúkať</w:t>
      </w:r>
      <w:r w:rsidR="00915AE2" w:rsidRPr="00560E41">
        <w:rPr>
          <w:szCs w:val="22"/>
        </w:rPr>
        <w:t>,</w:t>
      </w:r>
      <w:r w:rsidRPr="00560E41">
        <w:rPr>
          <w:szCs w:val="22"/>
        </w:rPr>
        <w:t xml:space="preserve"> ak dôjde k takej ponuke</w:t>
      </w:r>
      <w:r w:rsidR="00915AE2" w:rsidRPr="00560E41">
        <w:rPr>
          <w:szCs w:val="22"/>
        </w:rPr>
        <w:t>.</w:t>
      </w:r>
    </w:p>
    <w:p w14:paraId="0A1DDA73" w14:textId="3F08B0C8" w:rsidR="00DF72A7" w:rsidRPr="00560E41" w:rsidRDefault="00DF72A7">
      <w:pPr>
        <w:spacing w:after="0"/>
        <w:ind w:left="360"/>
        <w:jc w:val="both"/>
        <w:rPr>
          <w:b/>
          <w:bCs/>
          <w:i/>
          <w:iCs/>
          <w:szCs w:val="22"/>
        </w:rPr>
      </w:pPr>
    </w:p>
    <w:p w14:paraId="4B72B083" w14:textId="11F299F9" w:rsidR="00DF72A7" w:rsidRPr="00560E41" w:rsidRDefault="00DF72A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 xml:space="preserve">Môžem pokračovať v sporení pri produkte PEPP aj v prípade, že sa moja situácia v pracovnej oblasti zmení? </w:t>
      </w:r>
    </w:p>
    <w:p w14:paraId="23099783" w14:textId="4FD0BC57" w:rsidR="00DF72A7" w:rsidRPr="00560E41" w:rsidRDefault="00DF72A7">
      <w:pPr>
        <w:spacing w:after="0"/>
        <w:ind w:left="360"/>
        <w:jc w:val="both"/>
        <w:rPr>
          <w:b/>
          <w:bCs/>
          <w:i/>
          <w:iCs/>
          <w:szCs w:val="22"/>
        </w:rPr>
      </w:pPr>
    </w:p>
    <w:p w14:paraId="339F9B61" w14:textId="778BFA07" w:rsidR="00DF72A7" w:rsidRPr="00560E41" w:rsidRDefault="00DF72A7">
      <w:pPr>
        <w:pStyle w:val="ListParagraph"/>
        <w:numPr>
          <w:ilvl w:val="0"/>
          <w:numId w:val="9"/>
        </w:numPr>
        <w:spacing w:after="0"/>
        <w:jc w:val="both"/>
        <w:rPr>
          <w:szCs w:val="22"/>
        </w:rPr>
      </w:pPr>
      <w:r w:rsidRPr="00560E41">
        <w:rPr>
          <w:szCs w:val="22"/>
        </w:rPr>
        <w:t>Áno</w:t>
      </w:r>
      <w:r w:rsidR="00915AE2" w:rsidRPr="00560E41">
        <w:rPr>
          <w:szCs w:val="22"/>
        </w:rPr>
        <w:t>,</w:t>
      </w:r>
      <w:r w:rsidR="000664C8" w:rsidRPr="00560E41">
        <w:rPr>
          <w:szCs w:val="22"/>
        </w:rPr>
        <w:t xml:space="preserve"> je to možné. Sporiteľ v rámci PEEP produktu je oprávnený si sporiť aj v prípadoch akejkoľvek zmeny v pracovnej oblasti, či dôjde k zmene v osobe zamestnávateľa,</w:t>
      </w:r>
      <w:r w:rsidR="00915AE2" w:rsidRPr="00560E41">
        <w:rPr>
          <w:szCs w:val="22"/>
        </w:rPr>
        <w:t xml:space="preserve"> </w:t>
      </w:r>
      <w:r w:rsidR="000664C8" w:rsidRPr="00560E41">
        <w:rPr>
          <w:szCs w:val="22"/>
        </w:rPr>
        <w:t xml:space="preserve">či </w:t>
      </w:r>
      <w:r w:rsidR="00915AE2" w:rsidRPr="00560E41">
        <w:rPr>
          <w:szCs w:val="22"/>
        </w:rPr>
        <w:t xml:space="preserve">k </w:t>
      </w:r>
      <w:r w:rsidR="000664C8" w:rsidRPr="00560E41">
        <w:rPr>
          <w:szCs w:val="22"/>
        </w:rPr>
        <w:t>zmene pracovného úväzku, k postaveniu v podobe SZČO alebo sa stane sporiteľ nezamestnaným</w:t>
      </w:r>
      <w:r w:rsidR="00915AE2" w:rsidRPr="00560E41">
        <w:rPr>
          <w:szCs w:val="22"/>
        </w:rPr>
        <w:t>,</w:t>
      </w:r>
      <w:r w:rsidR="000664C8" w:rsidRPr="00560E41">
        <w:rPr>
          <w:szCs w:val="22"/>
        </w:rPr>
        <w:t xml:space="preserve"> či bude na materskej dovolenke, nakoľko postavenie sporiteľa pri produkte PEPP nie je závislé od pracovného pomeru</w:t>
      </w:r>
      <w:r w:rsidR="00915AE2" w:rsidRPr="00560E41">
        <w:rPr>
          <w:szCs w:val="22"/>
        </w:rPr>
        <w:t>.</w:t>
      </w:r>
    </w:p>
    <w:p w14:paraId="5DBFF124" w14:textId="77777777" w:rsidR="00C449E4" w:rsidRPr="00560E41" w:rsidRDefault="00C449E4">
      <w:pPr>
        <w:spacing w:after="0"/>
        <w:jc w:val="both"/>
        <w:rPr>
          <w:b/>
          <w:bCs/>
          <w:i/>
          <w:iCs/>
          <w:szCs w:val="22"/>
        </w:rPr>
      </w:pPr>
    </w:p>
    <w:p w14:paraId="796AE3D2" w14:textId="6B932DE2" w:rsidR="00C449E4" w:rsidRPr="00560E41" w:rsidRDefault="00C449E4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Je produkt PEPP dôveryhodným produktom?</w:t>
      </w:r>
    </w:p>
    <w:p w14:paraId="08542506" w14:textId="77777777" w:rsidR="00C449E4" w:rsidRPr="00560E41" w:rsidRDefault="00C449E4">
      <w:pPr>
        <w:spacing w:after="0"/>
        <w:jc w:val="both"/>
        <w:rPr>
          <w:b/>
          <w:bCs/>
          <w:i/>
          <w:iCs/>
          <w:szCs w:val="22"/>
        </w:rPr>
      </w:pPr>
    </w:p>
    <w:p w14:paraId="60CEA1DF" w14:textId="4D2F577F" w:rsidR="00C449E4" w:rsidRPr="00560E41" w:rsidRDefault="00C449E4">
      <w:pPr>
        <w:pStyle w:val="ListParagraph"/>
        <w:numPr>
          <w:ilvl w:val="0"/>
          <w:numId w:val="9"/>
        </w:numPr>
        <w:spacing w:after="0"/>
        <w:jc w:val="both"/>
        <w:rPr>
          <w:szCs w:val="22"/>
        </w:rPr>
      </w:pPr>
      <w:r w:rsidRPr="00560E41">
        <w:rPr>
          <w:szCs w:val="22"/>
        </w:rPr>
        <w:t>PEPP produkt je štandardizovaný regulovaný investičný produkt dlhodobého charakteru, ktorý môže byť ponúkaný výlučne distribútormi na tento produkt registrovanými a pred ponúkaním klientom budúcim sporiteľom musí byť oficiálne licencovaný a registrovaný pod dohľadom národných orgánov dohľadu</w:t>
      </w:r>
      <w:r w:rsidR="00915AE2" w:rsidRPr="00560E41">
        <w:rPr>
          <w:szCs w:val="22"/>
        </w:rPr>
        <w:t>.</w:t>
      </w:r>
    </w:p>
    <w:p w14:paraId="4EA42423" w14:textId="22CCED00" w:rsidR="00C449E4" w:rsidRPr="00560E41" w:rsidRDefault="00C449E4">
      <w:pPr>
        <w:spacing w:after="0"/>
        <w:ind w:left="360"/>
        <w:jc w:val="both"/>
        <w:rPr>
          <w:szCs w:val="22"/>
        </w:rPr>
      </w:pPr>
    </w:p>
    <w:p w14:paraId="2AACEF05" w14:textId="59889EB0" w:rsidR="00C449E4" w:rsidRPr="00560E41" w:rsidRDefault="00C449E4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Neviem nájsť poskytovateľa PEPP produktu v mojej krajine, môžem si kúpiť tento produkt aj v inej európskej krajine?</w:t>
      </w:r>
    </w:p>
    <w:p w14:paraId="693CBA99" w14:textId="199DC175" w:rsidR="00C449E4" w:rsidRPr="00560E41" w:rsidRDefault="00C449E4">
      <w:pPr>
        <w:spacing w:after="0"/>
        <w:jc w:val="both"/>
        <w:rPr>
          <w:b/>
          <w:bCs/>
          <w:i/>
          <w:iCs/>
          <w:szCs w:val="22"/>
        </w:rPr>
      </w:pPr>
    </w:p>
    <w:p w14:paraId="1FA31D29" w14:textId="2C3C8D50" w:rsidR="00C449E4" w:rsidRPr="00560E41" w:rsidRDefault="00C449E4">
      <w:pPr>
        <w:pStyle w:val="ListParagraph"/>
        <w:numPr>
          <w:ilvl w:val="0"/>
          <w:numId w:val="9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Je to možné. </w:t>
      </w:r>
      <w:r w:rsidR="00B3521A" w:rsidRPr="00560E41">
        <w:rPr>
          <w:szCs w:val="22"/>
        </w:rPr>
        <w:t>Záujemca o PEPP produkt, si môže kúpiť produkt aj od iných európskych registrovaných poskytovateľov PEPP</w:t>
      </w:r>
      <w:r w:rsidR="00915AE2" w:rsidRPr="00560E41">
        <w:rPr>
          <w:szCs w:val="22"/>
        </w:rPr>
        <w:t>,</w:t>
      </w:r>
      <w:r w:rsidR="00B3521A" w:rsidRPr="00560E41">
        <w:rPr>
          <w:szCs w:val="22"/>
        </w:rPr>
        <w:t xml:space="preserve"> nie iba z vlastnej krajiny. To je práve výhoda jednotného európskeho trhu, ktorý umožňuje aj cezhraničné poskytovanie finančných služieb. </w:t>
      </w:r>
    </w:p>
    <w:p w14:paraId="5839C5F1" w14:textId="3B6B9F3E" w:rsidR="00D42F27" w:rsidRPr="00560E41" w:rsidRDefault="00D42F27">
      <w:pPr>
        <w:spacing w:after="0"/>
        <w:jc w:val="both"/>
        <w:rPr>
          <w:szCs w:val="22"/>
        </w:rPr>
      </w:pPr>
    </w:p>
    <w:p w14:paraId="2AC8EE8F" w14:textId="2A05F84D" w:rsidR="00D42F27" w:rsidRPr="00560E41" w:rsidRDefault="00D42F27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Čo sa stane s mojim PEPP produktom</w:t>
      </w:r>
      <w:r w:rsidR="00915AE2" w:rsidRPr="00560E41">
        <w:rPr>
          <w:b/>
          <w:bCs/>
          <w:i/>
          <w:iCs/>
          <w:szCs w:val="22"/>
        </w:rPr>
        <w:t>,</w:t>
      </w:r>
      <w:r w:rsidRPr="00560E41">
        <w:rPr>
          <w:b/>
          <w:bCs/>
          <w:i/>
          <w:iCs/>
          <w:szCs w:val="22"/>
        </w:rPr>
        <w:t xml:space="preserve"> ak sa presťahujem do inej krajiny v rámci EÚ?</w:t>
      </w:r>
    </w:p>
    <w:p w14:paraId="3CDA45DA" w14:textId="064C8527" w:rsidR="00D42F27" w:rsidRPr="00560E41" w:rsidRDefault="00D42F27">
      <w:pPr>
        <w:spacing w:after="0"/>
        <w:jc w:val="both"/>
        <w:rPr>
          <w:b/>
          <w:bCs/>
          <w:i/>
          <w:iCs/>
          <w:szCs w:val="22"/>
        </w:rPr>
      </w:pPr>
    </w:p>
    <w:p w14:paraId="25799B15" w14:textId="775A2084" w:rsidR="00D06016" w:rsidRPr="00560E41" w:rsidRDefault="00D42F27">
      <w:pPr>
        <w:pStyle w:val="ListParagraph"/>
        <w:numPr>
          <w:ilvl w:val="0"/>
          <w:numId w:val="9"/>
        </w:numPr>
        <w:spacing w:after="0"/>
        <w:jc w:val="both"/>
        <w:rPr>
          <w:szCs w:val="22"/>
        </w:rPr>
      </w:pPr>
      <w:r w:rsidRPr="00560E41">
        <w:rPr>
          <w:szCs w:val="22"/>
        </w:rPr>
        <w:t>Jednou z hlavných čŕt a výhod tohto produktu PEPP je jeho prenositeľnos</w:t>
      </w:r>
      <w:r w:rsidR="00D06016" w:rsidRPr="00560E41">
        <w:rPr>
          <w:szCs w:val="22"/>
        </w:rPr>
        <w:t>ť v rámci EÚ, čo v praxi znamená, že sporiteľ v rámci PEPP môže vo svojom sporení pokračovať aj v prípade zmeny svojho bydliska do iného členského štátu EÚ bez potreby zmeny PEPP poskytovateľa.</w:t>
      </w:r>
    </w:p>
    <w:p w14:paraId="579E64C8" w14:textId="6073136B" w:rsidR="00D06016" w:rsidRPr="00560E41" w:rsidRDefault="00D06016">
      <w:pPr>
        <w:spacing w:after="0"/>
        <w:jc w:val="both"/>
        <w:rPr>
          <w:szCs w:val="22"/>
        </w:rPr>
      </w:pPr>
    </w:p>
    <w:p w14:paraId="39BCDA32" w14:textId="1D0B8057" w:rsidR="00D06016" w:rsidRPr="00560E41" w:rsidRDefault="00D06016">
      <w:pPr>
        <w:spacing w:after="0"/>
        <w:jc w:val="both"/>
        <w:rPr>
          <w:szCs w:val="22"/>
        </w:rPr>
      </w:pPr>
    </w:p>
    <w:p w14:paraId="409CCDCF" w14:textId="747116F7" w:rsidR="00D42F27" w:rsidRPr="00560E41" w:rsidRDefault="00D06016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 xml:space="preserve"> Aké informácie môže potenciálny sporiteľ získať pred samotným uzatvorením zmluvy o PEPP?</w:t>
      </w:r>
      <w:r w:rsidR="00D42F27" w:rsidRPr="00560E41">
        <w:rPr>
          <w:b/>
          <w:bCs/>
          <w:i/>
          <w:iCs/>
          <w:szCs w:val="22"/>
        </w:rPr>
        <w:t xml:space="preserve"> </w:t>
      </w:r>
    </w:p>
    <w:p w14:paraId="318AF7F8" w14:textId="3731BEBE" w:rsidR="00D06016" w:rsidRPr="00560E41" w:rsidRDefault="00D06016">
      <w:pPr>
        <w:spacing w:after="0"/>
        <w:ind w:left="360"/>
        <w:jc w:val="both"/>
        <w:rPr>
          <w:b/>
          <w:bCs/>
          <w:i/>
          <w:iCs/>
          <w:szCs w:val="22"/>
        </w:rPr>
      </w:pPr>
    </w:p>
    <w:p w14:paraId="715CE9C9" w14:textId="42136B54" w:rsidR="00ED44CE" w:rsidRPr="00560E41" w:rsidRDefault="00D06016">
      <w:pPr>
        <w:pStyle w:val="ListParagraph"/>
        <w:numPr>
          <w:ilvl w:val="0"/>
          <w:numId w:val="9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Potenciálny sporiteľ </w:t>
      </w:r>
      <w:r w:rsidR="000206D2" w:rsidRPr="00560E41">
        <w:rPr>
          <w:szCs w:val="22"/>
        </w:rPr>
        <w:t>je oprávnený</w:t>
      </w:r>
      <w:r w:rsidR="00ED44CE" w:rsidRPr="00560E41">
        <w:rPr>
          <w:szCs w:val="22"/>
        </w:rPr>
        <w:t xml:space="preserve"> žiadať o vysvetlenie všetkých otázok spojených s osobným dôchodkovým sporením, s investičnými pravidlami</w:t>
      </w:r>
      <w:r w:rsidR="00915AE2" w:rsidRPr="00560E41">
        <w:rPr>
          <w:szCs w:val="22"/>
        </w:rPr>
        <w:t>,</w:t>
      </w:r>
      <w:r w:rsidR="00ED44CE" w:rsidRPr="00560E41">
        <w:rPr>
          <w:szCs w:val="22"/>
        </w:rPr>
        <w:t xml:space="preserve"> informácie potrebné na prijatie kvalifikovaného osobného rozhodnutia v podobe uzatvorenia zmluvy o PEPP, o podmienkach jej uzatvorenia. Má právo na všetky informácie o produkte PEPP o nákladoch, poplatkoch ako aj výnosnosti produktu či dávkach, ktoré je možne z neho v dôchodkovom veku čerpať.</w:t>
      </w:r>
    </w:p>
    <w:p w14:paraId="0A6F4E14" w14:textId="1A85430D" w:rsidR="00D06016" w:rsidRPr="00560E41" w:rsidRDefault="00ED44CE">
      <w:pPr>
        <w:pStyle w:val="ListParagraph"/>
        <w:numPr>
          <w:ilvl w:val="0"/>
          <w:numId w:val="9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Sporiteľ je oprávnený a poskytovateľ PEPP je povinný potenciálnemu sporiteľovi poskytnúť dokument - </w:t>
      </w:r>
      <w:r w:rsidR="00915AE2" w:rsidRPr="00560E41">
        <w:rPr>
          <w:szCs w:val="22"/>
        </w:rPr>
        <w:t xml:space="preserve">Kľúčové </w:t>
      </w:r>
      <w:r w:rsidRPr="00560E41">
        <w:rPr>
          <w:szCs w:val="22"/>
        </w:rPr>
        <w:t>informáci</w:t>
      </w:r>
      <w:r w:rsidR="00915AE2" w:rsidRPr="00560E41">
        <w:rPr>
          <w:szCs w:val="22"/>
        </w:rPr>
        <w:t>e</w:t>
      </w:r>
      <w:r w:rsidRPr="00560E41">
        <w:rPr>
          <w:szCs w:val="22"/>
        </w:rPr>
        <w:t xml:space="preserve">, </w:t>
      </w:r>
      <w:r w:rsidR="00915AE2" w:rsidRPr="00560E41">
        <w:rPr>
          <w:szCs w:val="22"/>
        </w:rPr>
        <w:t xml:space="preserve">v ktorom </w:t>
      </w:r>
      <w:r w:rsidRPr="00560E41">
        <w:rPr>
          <w:szCs w:val="22"/>
        </w:rPr>
        <w:t>sú obsiahnuté všetky základné informácie o produkte PEPP v ľahko čitateľnej a zrozumiteľnej forme. Tento predzmluvný dokument bude tiež uvedený v </w:t>
      </w:r>
      <w:r w:rsidR="00915AE2" w:rsidRPr="00560E41">
        <w:rPr>
          <w:szCs w:val="22"/>
        </w:rPr>
        <w:t xml:space="preserve">centrálnom </w:t>
      </w:r>
      <w:r w:rsidRPr="00560E41">
        <w:rPr>
          <w:szCs w:val="22"/>
        </w:rPr>
        <w:t>registri EIOP</w:t>
      </w:r>
      <w:r w:rsidR="00C25AA8" w:rsidRPr="00560E41">
        <w:rPr>
          <w:szCs w:val="22"/>
        </w:rPr>
        <w:t>A</w:t>
      </w:r>
      <w:r w:rsidR="00915AE2" w:rsidRPr="00560E41">
        <w:rPr>
          <w:szCs w:val="22"/>
        </w:rPr>
        <w:t>.</w:t>
      </w:r>
    </w:p>
    <w:p w14:paraId="688F3C29" w14:textId="2EA1D777" w:rsidR="00E14E08" w:rsidRPr="00560E41" w:rsidRDefault="00E14E08">
      <w:pPr>
        <w:spacing w:after="0"/>
        <w:ind w:left="360"/>
        <w:jc w:val="both"/>
        <w:rPr>
          <w:b/>
          <w:bCs/>
          <w:i/>
          <w:iCs/>
          <w:szCs w:val="22"/>
        </w:rPr>
      </w:pPr>
    </w:p>
    <w:p w14:paraId="11D3B1A5" w14:textId="1D338E34" w:rsidR="00E14E08" w:rsidRPr="00560E41" w:rsidRDefault="00E14E08">
      <w:pPr>
        <w:pStyle w:val="ListParagraph"/>
        <w:numPr>
          <w:ilvl w:val="0"/>
          <w:numId w:val="1"/>
        </w:numPr>
        <w:spacing w:after="0"/>
        <w:jc w:val="both"/>
        <w:rPr>
          <w:szCs w:val="22"/>
        </w:rPr>
      </w:pPr>
      <w:r w:rsidRPr="00560E41">
        <w:rPr>
          <w:b/>
          <w:bCs/>
          <w:i/>
          <w:iCs/>
          <w:szCs w:val="22"/>
        </w:rPr>
        <w:t>Budem dosta</w:t>
      </w:r>
      <w:r w:rsidR="002215A2" w:rsidRPr="00560E41">
        <w:rPr>
          <w:b/>
          <w:bCs/>
          <w:i/>
          <w:iCs/>
          <w:szCs w:val="22"/>
        </w:rPr>
        <w:t>t</w:t>
      </w:r>
      <w:r w:rsidRPr="00560E41">
        <w:rPr>
          <w:b/>
          <w:bCs/>
          <w:i/>
          <w:iCs/>
          <w:szCs w:val="22"/>
        </w:rPr>
        <w:t>očne info</w:t>
      </w:r>
      <w:r w:rsidR="002215A2" w:rsidRPr="00560E41">
        <w:rPr>
          <w:b/>
          <w:bCs/>
          <w:i/>
          <w:iCs/>
          <w:szCs w:val="22"/>
        </w:rPr>
        <w:t>r</w:t>
      </w:r>
      <w:r w:rsidRPr="00560E41">
        <w:rPr>
          <w:b/>
          <w:bCs/>
          <w:i/>
          <w:iCs/>
          <w:szCs w:val="22"/>
        </w:rPr>
        <w:t>movaný o svojich úsporách a</w:t>
      </w:r>
      <w:r w:rsidR="002215A2" w:rsidRPr="00560E41">
        <w:rPr>
          <w:b/>
          <w:bCs/>
          <w:i/>
          <w:iCs/>
          <w:szCs w:val="22"/>
        </w:rPr>
        <w:t xml:space="preserve"> a</w:t>
      </w:r>
      <w:r w:rsidRPr="00560E41">
        <w:rPr>
          <w:b/>
          <w:bCs/>
          <w:i/>
          <w:iCs/>
          <w:szCs w:val="22"/>
        </w:rPr>
        <w:t>ké informácie obdržím počas trvania môjho P</w:t>
      </w:r>
      <w:r w:rsidR="002215A2" w:rsidRPr="00560E41">
        <w:rPr>
          <w:b/>
          <w:bCs/>
          <w:i/>
          <w:iCs/>
          <w:szCs w:val="22"/>
        </w:rPr>
        <w:t>EPP</w:t>
      </w:r>
      <w:r w:rsidRPr="00560E41">
        <w:rPr>
          <w:b/>
          <w:bCs/>
          <w:i/>
          <w:iCs/>
          <w:szCs w:val="22"/>
        </w:rPr>
        <w:t xml:space="preserve"> zmluvného vzťahu?</w:t>
      </w:r>
    </w:p>
    <w:p w14:paraId="5DE327B2" w14:textId="77777777" w:rsidR="000C5DFF" w:rsidRPr="00560E41" w:rsidRDefault="000C5DFF">
      <w:pPr>
        <w:pStyle w:val="ListParagraph"/>
        <w:spacing w:after="0"/>
        <w:jc w:val="both"/>
        <w:rPr>
          <w:szCs w:val="22"/>
        </w:rPr>
      </w:pPr>
    </w:p>
    <w:p w14:paraId="108226CD" w14:textId="46468CE1" w:rsidR="000C5DFF" w:rsidRPr="00560E41" w:rsidRDefault="000C5DFF">
      <w:pPr>
        <w:pStyle w:val="ListParagraph"/>
        <w:numPr>
          <w:ilvl w:val="0"/>
          <w:numId w:val="10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Každý rok počas trvania zmluvného vzťahu dostáva sporiteľ </w:t>
      </w:r>
      <w:proofErr w:type="spellStart"/>
      <w:r w:rsidRPr="00560E41">
        <w:rPr>
          <w:szCs w:val="22"/>
        </w:rPr>
        <w:t>personalizovaný</w:t>
      </w:r>
      <w:proofErr w:type="spellEnd"/>
      <w:r w:rsidRPr="00560E41">
        <w:rPr>
          <w:szCs w:val="22"/>
        </w:rPr>
        <w:t xml:space="preserve"> výpis z dôchodkového účtu tzv. PBS – </w:t>
      </w:r>
      <w:proofErr w:type="spellStart"/>
      <w:r w:rsidRPr="00560E41">
        <w:rPr>
          <w:szCs w:val="22"/>
        </w:rPr>
        <w:t>pension</w:t>
      </w:r>
      <w:proofErr w:type="spellEnd"/>
      <w:r w:rsidRPr="00560E41">
        <w:rPr>
          <w:szCs w:val="22"/>
        </w:rPr>
        <w:t xml:space="preserve"> benefit </w:t>
      </w:r>
      <w:proofErr w:type="spellStart"/>
      <w:r w:rsidRPr="00560E41">
        <w:rPr>
          <w:szCs w:val="22"/>
        </w:rPr>
        <w:t>statement</w:t>
      </w:r>
      <w:proofErr w:type="spellEnd"/>
      <w:r w:rsidRPr="00560E41">
        <w:rPr>
          <w:szCs w:val="22"/>
        </w:rPr>
        <w:t xml:space="preserve"> s jasným a prehľadným zoznamom pohybov na účte</w:t>
      </w:r>
      <w:r w:rsidR="00915AE2" w:rsidRPr="00560E41">
        <w:rPr>
          <w:szCs w:val="22"/>
        </w:rPr>
        <w:t>,</w:t>
      </w:r>
      <w:r w:rsidRPr="00560E41">
        <w:rPr>
          <w:szCs w:val="22"/>
        </w:rPr>
        <w:t xml:space="preserve"> či už v podobe pripísaných príspevkov či sumy zhodnotenia ako aj výšky odpočítaných nákladov. Podobne ako je to v druhom dôchodkovom pilieri. Tento výpis bude musieť obsahovať informácie uvedené priamo v nariadení o</w:t>
      </w:r>
      <w:r w:rsidR="00915AE2" w:rsidRPr="00560E41">
        <w:rPr>
          <w:szCs w:val="22"/>
        </w:rPr>
        <w:t> </w:t>
      </w:r>
      <w:r w:rsidRPr="00560E41">
        <w:rPr>
          <w:szCs w:val="22"/>
        </w:rPr>
        <w:t>PEPP</w:t>
      </w:r>
      <w:r w:rsidR="00915AE2" w:rsidRPr="00560E41">
        <w:rPr>
          <w:szCs w:val="22"/>
        </w:rPr>
        <w:t>,</w:t>
      </w:r>
      <w:r w:rsidRPr="00560E41">
        <w:rPr>
          <w:szCs w:val="22"/>
        </w:rPr>
        <w:t xml:space="preserve"> akými sú aj informácie o dôchodkových projekciách, informácie o</w:t>
      </w:r>
      <w:r w:rsidR="00915AE2" w:rsidRPr="00560E41">
        <w:rPr>
          <w:szCs w:val="22"/>
        </w:rPr>
        <w:t xml:space="preserve"> zaplatených </w:t>
      </w:r>
      <w:r w:rsidRPr="00560E41">
        <w:rPr>
          <w:szCs w:val="22"/>
        </w:rPr>
        <w:t>príspevkoch, prehľad odvedených nákladov priamych či nepriamych za posledných dvanásť mesiacov</w:t>
      </w:r>
      <w:r w:rsidR="003728EF" w:rsidRPr="00560E41">
        <w:rPr>
          <w:szCs w:val="22"/>
        </w:rPr>
        <w:t>, celkovú hodnotu nasporených prostriedkov ako aj informácie o minulej výkonnosti za posledných 10 rokov</w:t>
      </w:r>
      <w:r w:rsidR="00915AE2" w:rsidRPr="00560E41">
        <w:rPr>
          <w:szCs w:val="22"/>
        </w:rPr>
        <w:t>,</w:t>
      </w:r>
      <w:r w:rsidR="003728EF" w:rsidRPr="00560E41">
        <w:rPr>
          <w:szCs w:val="22"/>
        </w:rPr>
        <w:t xml:space="preserve"> ak už bol tento produkt v </w:t>
      </w:r>
      <w:r w:rsidR="00915AE2" w:rsidRPr="00560E41">
        <w:rPr>
          <w:szCs w:val="22"/>
        </w:rPr>
        <w:t>tomto období</w:t>
      </w:r>
      <w:r w:rsidR="003728EF" w:rsidRPr="00560E41">
        <w:rPr>
          <w:szCs w:val="22"/>
        </w:rPr>
        <w:t xml:space="preserve"> ponúkaný</w:t>
      </w:r>
      <w:r w:rsidR="00915AE2" w:rsidRPr="00560E41">
        <w:rPr>
          <w:szCs w:val="22"/>
        </w:rPr>
        <w:t>.</w:t>
      </w:r>
    </w:p>
    <w:p w14:paraId="19B88AEF" w14:textId="5ABAA103" w:rsidR="003728EF" w:rsidRPr="00560E41" w:rsidRDefault="003728EF">
      <w:pPr>
        <w:spacing w:after="0"/>
        <w:ind w:left="720"/>
        <w:jc w:val="both"/>
        <w:rPr>
          <w:b/>
          <w:bCs/>
          <w:i/>
          <w:iCs/>
          <w:szCs w:val="22"/>
        </w:rPr>
      </w:pPr>
    </w:p>
    <w:p w14:paraId="44BFCB0E" w14:textId="4256B51A" w:rsidR="003728EF" w:rsidRPr="00560E41" w:rsidRDefault="003728EF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i/>
          <w:iCs/>
          <w:szCs w:val="22"/>
        </w:rPr>
      </w:pPr>
      <w:r w:rsidRPr="00560E41">
        <w:rPr>
          <w:b/>
          <w:bCs/>
          <w:i/>
          <w:iCs/>
          <w:szCs w:val="22"/>
        </w:rPr>
        <w:t>Kde môžem nájsť ešte viac informácii o produkte PEPP?</w:t>
      </w:r>
    </w:p>
    <w:p w14:paraId="136E7892" w14:textId="77777777" w:rsidR="003728EF" w:rsidRPr="00560E41" w:rsidRDefault="003728EF">
      <w:pPr>
        <w:pStyle w:val="ListParagraph"/>
        <w:spacing w:after="0"/>
        <w:jc w:val="both"/>
        <w:rPr>
          <w:b/>
          <w:bCs/>
          <w:i/>
          <w:iCs/>
          <w:szCs w:val="22"/>
        </w:rPr>
      </w:pPr>
    </w:p>
    <w:p w14:paraId="5203FFF6" w14:textId="61A51EC8" w:rsidR="00CB7B07" w:rsidRPr="00560E41" w:rsidRDefault="003728EF">
      <w:pPr>
        <w:pStyle w:val="ListParagraph"/>
        <w:numPr>
          <w:ilvl w:val="0"/>
          <w:numId w:val="10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Každý sporiteľ či záujemca o produkt PEPP môže kontaktovať národného poskytovateľa produktu </w:t>
      </w:r>
      <w:r w:rsidR="00CB7B07" w:rsidRPr="00560E41">
        <w:rPr>
          <w:szCs w:val="22"/>
        </w:rPr>
        <w:t>prípadne distribútora oprávneného produkt PEPP distribuovať</w:t>
      </w:r>
      <w:r w:rsidR="00915AE2" w:rsidRPr="00560E41">
        <w:rPr>
          <w:szCs w:val="22"/>
        </w:rPr>
        <w:t>.</w:t>
      </w:r>
    </w:p>
    <w:p w14:paraId="5D18BE5F" w14:textId="1B975D78" w:rsidR="00CB7B07" w:rsidRPr="00560E41" w:rsidRDefault="00CB7B07">
      <w:pPr>
        <w:pStyle w:val="ListParagraph"/>
        <w:numPr>
          <w:ilvl w:val="0"/>
          <w:numId w:val="10"/>
        </w:numPr>
        <w:spacing w:after="0"/>
        <w:jc w:val="both"/>
        <w:rPr>
          <w:szCs w:val="22"/>
        </w:rPr>
      </w:pPr>
      <w:r w:rsidRPr="00560E41">
        <w:rPr>
          <w:szCs w:val="22"/>
        </w:rPr>
        <w:t xml:space="preserve">Legislatívny ako aj technicko-právny rámec produktu PEPP je obsiahnutý v nariadení o PEPP, preložené do všetkých EÚ jazykov - </w:t>
      </w:r>
      <w:hyperlink r:id="rId9" w:history="1">
        <w:r w:rsidR="00915AE2" w:rsidRPr="00560E41">
          <w:rPr>
            <w:rStyle w:val="Hyperlink"/>
            <w:szCs w:val="22"/>
          </w:rPr>
          <w:t>https://eur-lex.europa.eu/legal-content/SK/TXT/PDF/?uri=CELEX:32019R1238&amp;qid=1651154470038&amp;from=SK</w:t>
        </w:r>
      </w:hyperlink>
      <w:r w:rsidR="00915AE2" w:rsidRPr="002C7156">
        <w:rPr>
          <w:szCs w:val="22"/>
        </w:rPr>
        <w:t xml:space="preserve"> .</w:t>
      </w:r>
      <w:r w:rsidRPr="00560E41">
        <w:rPr>
          <w:szCs w:val="22"/>
        </w:rPr>
        <w:t xml:space="preserve"> </w:t>
      </w:r>
    </w:p>
    <w:p w14:paraId="765C3308" w14:textId="18E9943F" w:rsidR="003728EF" w:rsidRPr="00560E41" w:rsidRDefault="00CB7B07">
      <w:pPr>
        <w:pStyle w:val="ListParagraph"/>
        <w:numPr>
          <w:ilvl w:val="0"/>
          <w:numId w:val="10"/>
        </w:numPr>
        <w:spacing w:after="0"/>
        <w:jc w:val="both"/>
        <w:rPr>
          <w:szCs w:val="22"/>
        </w:rPr>
      </w:pPr>
      <w:r w:rsidRPr="00560E41">
        <w:rPr>
          <w:szCs w:val="22"/>
        </w:rPr>
        <w:t>Národná úprava zákona o celoeurópskom osobnom dôchodkovom produkte (zákon č. 129/2022 Z. z</w:t>
      </w:r>
      <w:r w:rsidR="00915AE2" w:rsidRPr="00560E41">
        <w:rPr>
          <w:szCs w:val="22"/>
        </w:rPr>
        <w:t>.</w:t>
      </w:r>
      <w:r w:rsidRPr="00560E41">
        <w:rPr>
          <w:szCs w:val="22"/>
        </w:rPr>
        <w:t xml:space="preserve">) na webovom sídle NBS v sekcii Celoeurópsky osobný dôchodkový produkt </w:t>
      </w:r>
      <w:hyperlink r:id="rId10" w:history="1">
        <w:r w:rsidRPr="00560E41">
          <w:rPr>
            <w:rStyle w:val="Hyperlink"/>
            <w:szCs w:val="22"/>
          </w:rPr>
          <w:t>https://www.nbs.sk/sk/dohlad-nad-financnym-trhom/legislativa/narodna-legislativa</w:t>
        </w:r>
      </w:hyperlink>
      <w:r w:rsidR="00915AE2" w:rsidRPr="002C7156">
        <w:rPr>
          <w:rStyle w:val="Hyperlink"/>
          <w:szCs w:val="22"/>
        </w:rPr>
        <w:t>.</w:t>
      </w:r>
    </w:p>
    <w:p w14:paraId="32149B3B" w14:textId="77777777" w:rsidR="00731458" w:rsidRPr="00560E41" w:rsidRDefault="00731458">
      <w:pPr>
        <w:pStyle w:val="ListParagraph"/>
        <w:spacing w:after="0"/>
        <w:ind w:left="1080"/>
        <w:jc w:val="both"/>
        <w:rPr>
          <w:szCs w:val="22"/>
        </w:rPr>
      </w:pPr>
    </w:p>
    <w:p w14:paraId="7FD21FBC" w14:textId="5028CCA9" w:rsidR="00CB7B07" w:rsidRPr="00560E41" w:rsidRDefault="00731458">
      <w:pPr>
        <w:pStyle w:val="ListParagraph"/>
        <w:numPr>
          <w:ilvl w:val="0"/>
          <w:numId w:val="1"/>
        </w:numPr>
        <w:spacing w:after="0"/>
        <w:jc w:val="both"/>
        <w:rPr>
          <w:szCs w:val="22"/>
        </w:rPr>
      </w:pPr>
      <w:r w:rsidRPr="00560E41">
        <w:rPr>
          <w:b/>
          <w:bCs/>
          <w:i/>
          <w:iCs/>
          <w:szCs w:val="22"/>
        </w:rPr>
        <w:t>Ak budem nespokojný môžem sa sťažovať a kde</w:t>
      </w:r>
      <w:r w:rsidRPr="00560E41">
        <w:rPr>
          <w:szCs w:val="22"/>
        </w:rPr>
        <w:t>?</w:t>
      </w:r>
    </w:p>
    <w:p w14:paraId="484061BC" w14:textId="77777777" w:rsidR="00731458" w:rsidRPr="00560E41" w:rsidRDefault="00731458">
      <w:pPr>
        <w:pStyle w:val="ListParagraph"/>
        <w:spacing w:after="0"/>
        <w:jc w:val="both"/>
        <w:rPr>
          <w:szCs w:val="22"/>
        </w:rPr>
      </w:pPr>
    </w:p>
    <w:p w14:paraId="5161A15B" w14:textId="155AD285" w:rsidR="00731458" w:rsidRPr="00560E41" w:rsidRDefault="004555E7">
      <w:pPr>
        <w:pStyle w:val="ListParagraph"/>
        <w:numPr>
          <w:ilvl w:val="0"/>
          <w:numId w:val="11"/>
        </w:numPr>
        <w:spacing w:after="0"/>
        <w:jc w:val="both"/>
        <w:rPr>
          <w:szCs w:val="22"/>
        </w:rPr>
      </w:pPr>
      <w:r w:rsidRPr="00560E41">
        <w:rPr>
          <w:szCs w:val="22"/>
        </w:rPr>
        <w:t>Ako sporiteľ je možné sa sťažovať individuálne alebo aj kolektívne svojej kompetentnej národnej autorite akou je v prípade SK PEPP Národná banka Slovenska.</w:t>
      </w:r>
    </w:p>
    <w:p w14:paraId="584AE86B" w14:textId="62E6A9F8" w:rsidR="004555E7" w:rsidRPr="00560E41" w:rsidRDefault="004555E7">
      <w:pPr>
        <w:pStyle w:val="ListParagraph"/>
        <w:numPr>
          <w:ilvl w:val="0"/>
          <w:numId w:val="11"/>
        </w:numPr>
        <w:spacing w:after="0"/>
        <w:jc w:val="both"/>
        <w:rPr>
          <w:szCs w:val="22"/>
        </w:rPr>
      </w:pPr>
      <w:r w:rsidRPr="00560E41">
        <w:rPr>
          <w:szCs w:val="22"/>
        </w:rPr>
        <w:t>Aj samotný dokument KID poskytuje informácie o možnostiach ako a kde je možné podať sťažnosť</w:t>
      </w:r>
      <w:r w:rsidR="00915AE2" w:rsidRPr="00560E41">
        <w:rPr>
          <w:szCs w:val="22"/>
        </w:rPr>
        <w:t>.</w:t>
      </w:r>
    </w:p>
    <w:p w14:paraId="381EE4C7" w14:textId="5BCDF7B3" w:rsidR="001C22AC" w:rsidRPr="00560E41" w:rsidRDefault="001C22AC">
      <w:pPr>
        <w:spacing w:after="0"/>
        <w:jc w:val="both"/>
        <w:rPr>
          <w:szCs w:val="22"/>
        </w:rPr>
      </w:pPr>
    </w:p>
    <w:p w14:paraId="677BC673" w14:textId="45FD5197" w:rsidR="00560E41" w:rsidRDefault="00560E41">
      <w:pPr>
        <w:spacing w:after="0"/>
        <w:jc w:val="both"/>
        <w:rPr>
          <w:szCs w:val="22"/>
        </w:rPr>
      </w:pPr>
    </w:p>
    <w:sectPr w:rsidR="00560E41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1A8B6" w14:textId="77777777" w:rsidR="00E21FF1" w:rsidRDefault="00E21FF1">
      <w:pPr>
        <w:spacing w:after="0" w:line="240" w:lineRule="auto"/>
      </w:pPr>
      <w:r>
        <w:separator/>
      </w:r>
    </w:p>
  </w:endnote>
  <w:endnote w:type="continuationSeparator" w:id="0">
    <w:p w14:paraId="4B5F8A2E" w14:textId="77777777" w:rsidR="00E21FF1" w:rsidRDefault="00E2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697A" w14:textId="77777777" w:rsidR="00BD6E95" w:rsidRDefault="00E21FF1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A4E5" w14:textId="77777777" w:rsidR="00E21FF1" w:rsidRDefault="00E21F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F3F05F" w14:textId="77777777" w:rsidR="00E21FF1" w:rsidRDefault="00E21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488"/>
    <w:multiLevelType w:val="hybridMultilevel"/>
    <w:tmpl w:val="015EE3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F57"/>
    <w:multiLevelType w:val="hybridMultilevel"/>
    <w:tmpl w:val="F236BB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695A"/>
    <w:multiLevelType w:val="multilevel"/>
    <w:tmpl w:val="F852285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5A6832"/>
    <w:multiLevelType w:val="hybridMultilevel"/>
    <w:tmpl w:val="31085454"/>
    <w:lvl w:ilvl="0" w:tplc="041B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3A1B5655"/>
    <w:multiLevelType w:val="hybridMultilevel"/>
    <w:tmpl w:val="8BD6FC16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F6D55"/>
    <w:multiLevelType w:val="hybridMultilevel"/>
    <w:tmpl w:val="D0887ED4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B6432"/>
    <w:multiLevelType w:val="multilevel"/>
    <w:tmpl w:val="31947C2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4C70D4C"/>
    <w:multiLevelType w:val="hybridMultilevel"/>
    <w:tmpl w:val="D624A4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63FBD"/>
    <w:multiLevelType w:val="multilevel"/>
    <w:tmpl w:val="C9CC5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8310B"/>
    <w:multiLevelType w:val="hybridMultilevel"/>
    <w:tmpl w:val="9F8E83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7B480726">
      <w:start w:val="1"/>
      <w:numFmt w:val="lowerLetter"/>
      <w:lvlText w:val="(%3)"/>
      <w:lvlJc w:val="left"/>
      <w:pPr>
        <w:ind w:left="2340" w:hanging="360"/>
      </w:pPr>
      <w:rPr>
        <w:rFonts w:hint="default"/>
        <w:color w:val="auto"/>
      </w:rPr>
    </w:lvl>
    <w:lvl w:ilvl="3" w:tplc="55EA6CF6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A1724"/>
    <w:multiLevelType w:val="hybridMultilevel"/>
    <w:tmpl w:val="C7A8FB3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671A51"/>
    <w:multiLevelType w:val="hybridMultilevel"/>
    <w:tmpl w:val="87A42556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F3"/>
    <w:rsid w:val="000206D2"/>
    <w:rsid w:val="00045E89"/>
    <w:rsid w:val="000664C8"/>
    <w:rsid w:val="000B1085"/>
    <w:rsid w:val="000C5DFF"/>
    <w:rsid w:val="000E18C8"/>
    <w:rsid w:val="00154ADE"/>
    <w:rsid w:val="00161DA5"/>
    <w:rsid w:val="001C22AC"/>
    <w:rsid w:val="001F5D59"/>
    <w:rsid w:val="00214F4E"/>
    <w:rsid w:val="00220103"/>
    <w:rsid w:val="002215A2"/>
    <w:rsid w:val="002C7156"/>
    <w:rsid w:val="003129BF"/>
    <w:rsid w:val="00330E91"/>
    <w:rsid w:val="003728EF"/>
    <w:rsid w:val="004555E7"/>
    <w:rsid w:val="0049661C"/>
    <w:rsid w:val="004A4D9C"/>
    <w:rsid w:val="00560E41"/>
    <w:rsid w:val="00621CB7"/>
    <w:rsid w:val="006946C1"/>
    <w:rsid w:val="00731458"/>
    <w:rsid w:val="0074244F"/>
    <w:rsid w:val="00746404"/>
    <w:rsid w:val="00774512"/>
    <w:rsid w:val="00817E17"/>
    <w:rsid w:val="0088000E"/>
    <w:rsid w:val="008B6116"/>
    <w:rsid w:val="008F6420"/>
    <w:rsid w:val="00915AE2"/>
    <w:rsid w:val="00937F84"/>
    <w:rsid w:val="0097012A"/>
    <w:rsid w:val="00977A1B"/>
    <w:rsid w:val="00985638"/>
    <w:rsid w:val="00A262B8"/>
    <w:rsid w:val="00A3335A"/>
    <w:rsid w:val="00AB2CC9"/>
    <w:rsid w:val="00B02F22"/>
    <w:rsid w:val="00B3521A"/>
    <w:rsid w:val="00C14FE3"/>
    <w:rsid w:val="00C25AA8"/>
    <w:rsid w:val="00C26D13"/>
    <w:rsid w:val="00C449E4"/>
    <w:rsid w:val="00CB7B07"/>
    <w:rsid w:val="00D06016"/>
    <w:rsid w:val="00D42F27"/>
    <w:rsid w:val="00DE2EF3"/>
    <w:rsid w:val="00DF72A7"/>
    <w:rsid w:val="00E10A7E"/>
    <w:rsid w:val="00E14E08"/>
    <w:rsid w:val="00E21FF1"/>
    <w:rsid w:val="00E37C74"/>
    <w:rsid w:val="00EC4938"/>
    <w:rsid w:val="00ED44CE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63F9"/>
  <w15:docId w15:val="{8DE5D7CA-272C-415D-B6B2-8EB05CA6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sk-SK" w:eastAsia="en-US" w:bidi="ar-SA"/>
      </w:rPr>
    </w:rPrDefault>
    <w:pPrDefault>
      <w:pPr>
        <w:autoSpaceDN w:val="0"/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Verdana" w:eastAsia="Times New Roman" w:hAnsi="Verdana"/>
      <w:color w:val="0067AC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 w:after="240"/>
      <w:outlineLvl w:val="1"/>
    </w:pPr>
    <w:rPr>
      <w:rFonts w:ascii="Verdana" w:eastAsia="Times New Roman" w:hAnsi="Verdana"/>
      <w:color w:val="0067AC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rFonts w:ascii="Verdana" w:eastAsia="Times New Roman" w:hAnsi="Verdana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Verdana" w:eastAsia="Times New Roman" w:hAnsi="Verdana" w:cs="Times New Roman"/>
      <w:color w:val="0067AC"/>
      <w:sz w:val="32"/>
      <w:szCs w:val="32"/>
    </w:rPr>
  </w:style>
  <w:style w:type="character" w:customStyle="1" w:styleId="Heading2Char">
    <w:name w:val="Heading 2 Char"/>
    <w:basedOn w:val="DefaultParagraphFont"/>
    <w:rPr>
      <w:rFonts w:ascii="Verdana" w:eastAsia="Times New Roman" w:hAnsi="Verdana" w:cs="Times New Roman"/>
      <w:color w:val="0067AC"/>
      <w:sz w:val="28"/>
      <w:szCs w:val="26"/>
    </w:rPr>
  </w:style>
  <w:style w:type="character" w:customStyle="1" w:styleId="Heading3Char">
    <w:name w:val="Heading 3 Char"/>
    <w:basedOn w:val="DefaultParagraphFont"/>
    <w:rPr>
      <w:rFonts w:ascii="Verdana" w:eastAsia="Times New Roman" w:hAnsi="Verdana" w:cs="Times New Roman"/>
      <w:color w:val="0067AC"/>
      <w:sz w:val="24"/>
      <w:szCs w:val="24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customStyle="1" w:styleId="Paticka">
    <w:name w:val="Paticka"/>
    <w:basedOn w:val="Footer"/>
    <w:rPr>
      <w:rFonts w:ascii="Verdana" w:hAnsi="Verdana"/>
      <w:sz w:val="14"/>
    </w:rPr>
  </w:style>
  <w:style w:type="paragraph" w:customStyle="1" w:styleId="Poznamka">
    <w:name w:val="Poznamka"/>
    <w:pPr>
      <w:suppressAutoHyphens/>
    </w:pPr>
    <w:rPr>
      <w:rFonts w:ascii="Verdana" w:hAnsi="Verdana"/>
      <w:sz w:val="14"/>
    </w:rPr>
  </w:style>
  <w:style w:type="character" w:customStyle="1" w:styleId="PatickaChar">
    <w:name w:val="Paticka Char"/>
    <w:basedOn w:val="FooterChar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rPr>
      <w:rFonts w:ascii="Verdana" w:hAnsi="Verdana"/>
      <w:sz w:val="14"/>
    </w:rPr>
  </w:style>
  <w:style w:type="character" w:styleId="Hyperlink">
    <w:name w:val="Hyperlink"/>
    <w:basedOn w:val="DefaultParagraphFont"/>
    <w:rPr>
      <w:color w:val="1C355E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4ADE"/>
    <w:rPr>
      <w:color w:val="73253E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4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AD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A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pp.eiopa.europa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epp.eiopa.europa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bs.sk/sk/dohlad-nad-financnym-trhom/legislativa/narodna-legislati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K/TXT/PDF/?uri=CELEX:32019R1238&amp;qid=1651154470038&amp;from=SK" TargetMode="Externa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dcterms:created xsi:type="dcterms:W3CDTF">2022-05-06T13:59:00Z</dcterms:created>
  <dcterms:modified xsi:type="dcterms:W3CDTF">2022-05-06T13:59:00Z</dcterms:modified>
</cp:coreProperties>
</file>