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59182" w14:textId="77777777" w:rsidR="00697BFC" w:rsidRPr="00697BFC" w:rsidRDefault="00D00DCC" w:rsidP="00B42F36">
      <w:pPr>
        <w:spacing w:after="0"/>
        <w:rPr>
          <w:b/>
          <w:bCs/>
        </w:rPr>
      </w:pPr>
      <w:r w:rsidRPr="00697BFC">
        <w:rPr>
          <w:b/>
          <w:bCs/>
        </w:rPr>
        <w:t xml:space="preserve">Osobitný platobný prostriedok – podrobný opis </w:t>
      </w:r>
    </w:p>
    <w:p w14:paraId="67D6EF54" w14:textId="77777777" w:rsidR="00697BFC" w:rsidRDefault="00697BFC" w:rsidP="00B42F36">
      <w:pPr>
        <w:spacing w:after="0"/>
      </w:pPr>
    </w:p>
    <w:p w14:paraId="419726F2" w14:textId="3BCED09C" w:rsidR="00697BFC" w:rsidRDefault="00D00DCC" w:rsidP="00697BFC">
      <w:pPr>
        <w:spacing w:after="0"/>
        <w:jc w:val="both"/>
      </w:pPr>
      <w:r>
        <w:t xml:space="preserve">• Limitovaný poskytovateľ </w:t>
      </w:r>
      <w:r w:rsidRPr="00897871">
        <w:t xml:space="preserve">môže v rámci poskytovaných služieb podľa </w:t>
      </w:r>
      <w:hyperlink r:id="rId8" w:anchor="paragraf-1.odsek-3.pismeno-k" w:history="1">
        <w:r w:rsidRPr="00897871">
          <w:rPr>
            <w:rStyle w:val="Hyperlink"/>
          </w:rPr>
          <w:t>§ 1 ods. 3 písm. k)</w:t>
        </w:r>
      </w:hyperlink>
      <w:r w:rsidRPr="00897871">
        <w:t xml:space="preserve"> prvého bodu alebo druhého bodu zákona o platobných službách vydávať rôzne druhy osobitných platobných prostriedkov. Takéto osobitné platobné prostriedky sa môžu využívať na kúpu </w:t>
      </w:r>
      <w:r w:rsidRPr="00897871">
        <w:rPr>
          <w:b/>
          <w:bCs/>
        </w:rPr>
        <w:t>fyzického aj digitálneho</w:t>
      </w:r>
      <w:r w:rsidRPr="00897871">
        <w:t xml:space="preserve"> tovaru alebo služieb. Pre posudzovanie osobitného platobného prostriedku je potrebné overiť, </w:t>
      </w:r>
      <w:r w:rsidRPr="00897871">
        <w:rPr>
          <w:b/>
          <w:bCs/>
        </w:rPr>
        <w:t>či sa uplatňujú technické a zmluvné obmedzenia pre jeho používanie</w:t>
      </w:r>
      <w:r w:rsidRPr="00897871">
        <w:t>, pričom za technické obmedzenie nie je možné považovať iba samotnú existenciu zmluvy medzi vydavateľom a držiteľom</w:t>
      </w:r>
      <w:r>
        <w:t xml:space="preserve"> </w:t>
      </w:r>
      <w:r w:rsidR="00B455AE">
        <w:t xml:space="preserve">osobitného </w:t>
      </w:r>
      <w:r>
        <w:t xml:space="preserve">platobného prostriedku. </w:t>
      </w:r>
      <w:r w:rsidR="00B455AE">
        <w:t>Osobitný p</w:t>
      </w:r>
      <w:r>
        <w:t>latobný prostriedok, ktorý v sebe zahŕňa všeobecne použiteľnú platobnú funkcionalitu</w:t>
      </w:r>
      <w:r w:rsidR="00CF58BA">
        <w:t>,</w:t>
      </w:r>
      <w:r>
        <w:t xml:space="preserve"> nemôže profit</w:t>
      </w:r>
      <w:r w:rsidR="00CF58BA">
        <w:t>ovať</w:t>
      </w:r>
      <w:r>
        <w:t xml:space="preserve"> z výnimky zo zákona o platobných službách. </w:t>
      </w:r>
    </w:p>
    <w:p w14:paraId="371E3BE1" w14:textId="77777777" w:rsidR="00697BFC" w:rsidRDefault="00697BFC" w:rsidP="00B42F36">
      <w:pPr>
        <w:spacing w:after="0"/>
      </w:pPr>
    </w:p>
    <w:p w14:paraId="4DE91DE6" w14:textId="6CF910B6" w:rsidR="00697BFC" w:rsidRDefault="00D00DCC" w:rsidP="00B42F36">
      <w:pPr>
        <w:spacing w:after="0"/>
      </w:pPr>
      <w:r>
        <w:t xml:space="preserve">• </w:t>
      </w:r>
      <w:r w:rsidRPr="00697BFC">
        <w:rPr>
          <w:b/>
          <w:bCs/>
        </w:rPr>
        <w:t>Osobitný platobný prostriedok je možné použiť:</w:t>
      </w:r>
      <w:r>
        <w:t xml:space="preserve"> </w:t>
      </w:r>
    </w:p>
    <w:p w14:paraId="6CA050E5" w14:textId="7413182C" w:rsidR="00697BFC" w:rsidRDefault="00D00DCC" w:rsidP="00697BFC">
      <w:pPr>
        <w:spacing w:after="0"/>
        <w:jc w:val="both"/>
      </w:pPr>
      <w:r w:rsidRPr="00697BFC">
        <w:rPr>
          <w:b/>
          <w:bCs/>
        </w:rPr>
        <w:t>a) na kúpu tovaru a služieb v konkrétnom maloobchode alebo konkrétnom maloobchodnom reťazci, ak sú zúčastnené subjekty priamo prepojené obchodnou dohodou</w:t>
      </w:r>
      <w:r>
        <w:t xml:space="preserve">, ktorá napríklad ustanovuje používanie </w:t>
      </w:r>
      <w:r w:rsidR="00C3624A">
        <w:t xml:space="preserve">osobitného platobného prostriedku na miestach predaja v rámci jednej maloobchodnej značky. </w:t>
      </w:r>
      <w:r>
        <w:t xml:space="preserve"> Na druhej strane, táto výnimka neobmedzuje druh tovarov a služieb, za ktoré je možné </w:t>
      </w:r>
      <w:r w:rsidR="008C4B3C">
        <w:t xml:space="preserve">osobitným </w:t>
      </w:r>
      <w:r>
        <w:t xml:space="preserve">platobným prostriedkom platiť; alebo </w:t>
      </w:r>
    </w:p>
    <w:p w14:paraId="5167803C" w14:textId="7797E6BC" w:rsidR="00697BFC" w:rsidRDefault="00D00DCC" w:rsidP="00697BFC">
      <w:pPr>
        <w:spacing w:after="0"/>
        <w:jc w:val="both"/>
      </w:pPr>
      <w:r w:rsidRPr="0067069A">
        <w:rPr>
          <w:b/>
          <w:bCs/>
        </w:rPr>
        <w:t>b)</w:t>
      </w:r>
      <w:r>
        <w:t xml:space="preserve"> </w:t>
      </w:r>
      <w:r w:rsidRPr="00697BFC">
        <w:rPr>
          <w:b/>
          <w:bCs/>
        </w:rPr>
        <w:t>na kúpu veľmi obmedzeného sortimentu tovaru alebo služieb</w:t>
      </w:r>
      <w:r>
        <w:t>, napríklad ak je rozsah použitia efektívne obmedzený na uzavretý počet funkčne súvisiacich druhov tovaru alebo služieb bez ohľadu na zemepisnú polohu miesta predaja. Táto výnimka j</w:t>
      </w:r>
      <w:r w:rsidR="00972704">
        <w:t>e</w:t>
      </w:r>
      <w:r>
        <w:t xml:space="preserve"> aplikovateľná, pokiaľ existuje úzke funkčné prepojenie medzi definovaným druhom tovarov a služieb, zatiaľ čo geografické obmedzenie sa v tomto prípade nevyžaduje. Na uplatnenie výnimky sa preto nevyžaduje obmedzenie (celkového) počtu</w:t>
      </w:r>
      <w:r w:rsidR="00B10F81">
        <w:t xml:space="preserve"> </w:t>
      </w:r>
      <w:r>
        <w:t xml:space="preserve">/ množstva tovarov a služieb, ale stanovenie veľmi obmedzeného typologického rozsahu úzko súvisiacich tovarov a služieb. Ak je použitie platobného prostriedku obmedzené na veľmi obmedzený rozsah tovarov a služieb, platobný </w:t>
      </w:r>
      <w:r w:rsidR="000E02E0">
        <w:t xml:space="preserve">prostriedok </w:t>
      </w:r>
      <w:r>
        <w:t xml:space="preserve"> je možné použiť aj v niekoľkých sieťach poskytovateľov tovarov a služieb. Obmedzením sortimentu tovarov a služieb je preto možné - na rozdiel od výnimky podľa § 1 ods. 3 písm. k) prvého bodu zákona o platobných službách - rozšíriť rozsah akceptácie </w:t>
      </w:r>
      <w:r w:rsidR="008C4B3C">
        <w:t xml:space="preserve">osobitného </w:t>
      </w:r>
      <w:r>
        <w:t xml:space="preserve">platobného prostriedku aj na niekoľko reťazcov / značiek </w:t>
      </w:r>
      <w:r w:rsidRPr="00697BFC">
        <w:rPr>
          <w:i/>
          <w:iCs/>
        </w:rPr>
        <w:t>(napríklad palivová karta slúžiaca na nákup pohonných hmôt a tovarov súvisiacich s prevádzkou vozidla)</w:t>
      </w:r>
      <w:r w:rsidR="0067069A">
        <w:rPr>
          <w:i/>
          <w:iCs/>
        </w:rPr>
        <w:t>.</w:t>
      </w:r>
      <w:r>
        <w:t xml:space="preserve"> </w:t>
      </w:r>
    </w:p>
    <w:p w14:paraId="04AAAF6A" w14:textId="77777777" w:rsidR="00697BFC" w:rsidRDefault="00697BFC" w:rsidP="00697BFC">
      <w:pPr>
        <w:spacing w:after="0"/>
        <w:jc w:val="both"/>
      </w:pPr>
    </w:p>
    <w:p w14:paraId="02D3618D" w14:textId="77777777" w:rsidR="00697BFC" w:rsidRPr="00697BFC" w:rsidRDefault="00D00DCC" w:rsidP="00697BFC">
      <w:pPr>
        <w:spacing w:after="0"/>
        <w:jc w:val="both"/>
        <w:rPr>
          <w:b/>
          <w:bCs/>
        </w:rPr>
      </w:pPr>
      <w:r>
        <w:t xml:space="preserve">• </w:t>
      </w:r>
      <w:r w:rsidRPr="00697BFC">
        <w:rPr>
          <w:b/>
          <w:bCs/>
        </w:rPr>
        <w:t xml:space="preserve">Činnosť, ktorá nemusí byť posúdená ako služby limitovaného poskytovateľa </w:t>
      </w:r>
    </w:p>
    <w:p w14:paraId="2C462D7C" w14:textId="1C594D19" w:rsidR="00DF3B63" w:rsidRDefault="00D00DCC" w:rsidP="00697BFC">
      <w:pPr>
        <w:spacing w:after="0"/>
        <w:jc w:val="both"/>
      </w:pPr>
      <w:r>
        <w:t xml:space="preserve">Za činnosť limitovaného poskytovateľa </w:t>
      </w:r>
      <w:r w:rsidRPr="00DF3B63">
        <w:rPr>
          <w:b/>
          <w:bCs/>
        </w:rPr>
        <w:t>by sa nemali považovať také služby</w:t>
      </w:r>
      <w:r>
        <w:t xml:space="preserve">, ktoré sú založené na </w:t>
      </w:r>
      <w:r w:rsidR="008C4B3C">
        <w:t xml:space="preserve">osobitnom </w:t>
      </w:r>
      <w:r>
        <w:t xml:space="preserve">platobnom prostriedku, ak sa takýto prostriedok dá použiť na nákup tovaru alebo služby: </w:t>
      </w:r>
    </w:p>
    <w:p w14:paraId="42ED1BE8" w14:textId="77777777" w:rsidR="00DF3B63" w:rsidRDefault="00D00DCC" w:rsidP="00697BFC">
      <w:pPr>
        <w:spacing w:after="0"/>
        <w:jc w:val="both"/>
      </w:pPr>
      <w:r>
        <w:t xml:space="preserve">- v rámci viac ako jednej obmedzenej siete, </w:t>
      </w:r>
    </w:p>
    <w:p w14:paraId="4C35A110" w14:textId="77777777" w:rsidR="00DF3B63" w:rsidRDefault="00D00DCC" w:rsidP="00697BFC">
      <w:pPr>
        <w:spacing w:after="0"/>
        <w:jc w:val="both"/>
      </w:pPr>
      <w:r>
        <w:t xml:space="preserve">- je ním možné získať širší ako len veľmi obmedzený sortiment tovarov a služieb, alebo </w:t>
      </w:r>
    </w:p>
    <w:p w14:paraId="728FAA34" w14:textId="1D5475BD" w:rsidR="00697BFC" w:rsidRDefault="00D00DCC" w:rsidP="00697BFC">
      <w:pPr>
        <w:spacing w:after="0"/>
        <w:jc w:val="both"/>
      </w:pPr>
      <w:r>
        <w:t xml:space="preserve">- je akceptovaný v sieti poskytovateľov tovarov a služieb, ktorá sa neustále rozrastá. </w:t>
      </w:r>
    </w:p>
    <w:p w14:paraId="6230F654" w14:textId="77777777" w:rsidR="00697BFC" w:rsidRDefault="00697BFC" w:rsidP="00697BFC">
      <w:pPr>
        <w:spacing w:after="0"/>
        <w:jc w:val="both"/>
      </w:pPr>
    </w:p>
    <w:p w14:paraId="3DE89C86" w14:textId="05F807DD" w:rsidR="00DF3B63" w:rsidRDefault="00D00DCC" w:rsidP="00697BFC">
      <w:pPr>
        <w:spacing w:after="0"/>
        <w:jc w:val="both"/>
      </w:pPr>
      <w:r>
        <w:t xml:space="preserve">• </w:t>
      </w:r>
      <w:r w:rsidRPr="00DF3B63">
        <w:rPr>
          <w:b/>
          <w:bCs/>
        </w:rPr>
        <w:t>Jednotlivé typy vydávaných osobitných platobných prostriedkov</w:t>
      </w:r>
      <w:r>
        <w:t xml:space="preserve">: </w:t>
      </w:r>
    </w:p>
    <w:p w14:paraId="14A9CCF3" w14:textId="21872F55" w:rsidR="00DF3B63" w:rsidRDefault="00D00DCC" w:rsidP="00697BFC">
      <w:pPr>
        <w:spacing w:after="0"/>
        <w:jc w:val="both"/>
      </w:pPr>
      <w:r>
        <w:t xml:space="preserve">- </w:t>
      </w:r>
      <w:r w:rsidRPr="00DF3B63">
        <w:rPr>
          <w:b/>
          <w:bCs/>
        </w:rPr>
        <w:t>stravovacie karty</w:t>
      </w:r>
      <w:r>
        <w:t xml:space="preserve"> </w:t>
      </w:r>
      <w:r w:rsidR="008C4B3C">
        <w:t>by mali byť určené na nákup stravovania,</w:t>
      </w:r>
      <w:r>
        <w:t xml:space="preserve"> resp. potrav</w:t>
      </w:r>
      <w:r w:rsidR="008C4B3C">
        <w:t>ín</w:t>
      </w:r>
      <w:r>
        <w:t xml:space="preserve"> určen</w:t>
      </w:r>
      <w:r w:rsidR="008C4B3C">
        <w:t>ých</w:t>
      </w:r>
      <w:r>
        <w:t xml:space="preserve"> na okamžitú spotrebu u prevádzkovateľov, ktorí takéto služby stravovania poskytujú. V prípade, ak </w:t>
      </w:r>
      <w:r w:rsidR="008C4B3C">
        <w:t>s</w:t>
      </w:r>
      <w:r w:rsidR="0067069A">
        <w:t>a</w:t>
      </w:r>
      <w:r>
        <w:t xml:space="preserve"> tak</w:t>
      </w:r>
      <w:r w:rsidR="008C4B3C">
        <w:t>éto</w:t>
      </w:r>
      <w:r>
        <w:t xml:space="preserve"> prostried</w:t>
      </w:r>
      <w:r w:rsidR="008C4B3C">
        <w:t>ky</w:t>
      </w:r>
      <w:r>
        <w:t xml:space="preserve"> používa</w:t>
      </w:r>
      <w:r w:rsidR="0067069A">
        <w:t>jú</w:t>
      </w:r>
      <w:r>
        <w:t xml:space="preserve"> na nákup bežných potravín v predajniach potravín, nie je vo všeobecnosti možné takéto služby posúdiť ako služby vylúčené zo zákona o platobných službách, ak sa neuplatňuje relevantné technické obmedzenie, na základe ktorého je takýto prostriedok možné použiť iba na veľmi obmedzený sortiment tovaru alebo služby</w:t>
      </w:r>
      <w:r w:rsidR="001F57BF">
        <w:t>,</w:t>
      </w:r>
      <w:r>
        <w:t xml:space="preserve"> </w:t>
      </w:r>
    </w:p>
    <w:p w14:paraId="41285635" w14:textId="02AD0A14" w:rsidR="00BC4ECD" w:rsidRDefault="00B10F81" w:rsidP="00697BFC">
      <w:pPr>
        <w:spacing w:after="0"/>
        <w:jc w:val="both"/>
      </w:pPr>
      <w:r>
        <w:lastRenderedPageBreak/>
        <w:t xml:space="preserve">- </w:t>
      </w:r>
      <w:r w:rsidRPr="00B10F81">
        <w:rPr>
          <w:b/>
          <w:bCs/>
        </w:rPr>
        <w:t>rekreačn</w:t>
      </w:r>
      <w:r>
        <w:rPr>
          <w:b/>
          <w:bCs/>
        </w:rPr>
        <w:t>é</w:t>
      </w:r>
      <w:r w:rsidRPr="00B10F81">
        <w:rPr>
          <w:b/>
          <w:bCs/>
        </w:rPr>
        <w:t xml:space="preserve"> poukaz</w:t>
      </w:r>
      <w:r>
        <w:rPr>
          <w:b/>
          <w:bCs/>
        </w:rPr>
        <w:t>y na kart</w:t>
      </w:r>
      <w:r w:rsidR="00BC4ECD">
        <w:rPr>
          <w:b/>
          <w:bCs/>
        </w:rPr>
        <w:t>e</w:t>
      </w:r>
      <w:r>
        <w:t xml:space="preserve"> by mali umožňovať</w:t>
      </w:r>
      <w:r w:rsidR="00BC4ECD">
        <w:t xml:space="preserve"> nákup pobytu (rekreáciu) výlučne uskutočnených na území Slovenska,</w:t>
      </w:r>
    </w:p>
    <w:p w14:paraId="6CD043EE" w14:textId="2A030D08" w:rsidR="00B10F81" w:rsidRDefault="00BC4ECD" w:rsidP="00697BFC">
      <w:pPr>
        <w:spacing w:after="0"/>
        <w:jc w:val="both"/>
      </w:pPr>
      <w:r>
        <w:t xml:space="preserve">- </w:t>
      </w:r>
      <w:r w:rsidRPr="00BC4ECD">
        <w:rPr>
          <w:b/>
          <w:bCs/>
        </w:rPr>
        <w:t>dopravné karty</w:t>
      </w:r>
      <w:r>
        <w:t xml:space="preserve"> by mali umožňovať </w:t>
      </w:r>
      <w:r w:rsidR="000E02E0">
        <w:t>nákup cestovných lístkov</w:t>
      </w:r>
      <w:r>
        <w:t xml:space="preserve"> </w:t>
      </w:r>
      <w:r w:rsidR="000E02E0">
        <w:t>n</w:t>
      </w:r>
      <w:r>
        <w:t xml:space="preserve">a dopravu </w:t>
      </w:r>
      <w:r w:rsidR="00CE0972">
        <w:t>dopravnými prostriedkami na území Slovenska,</w:t>
      </w:r>
    </w:p>
    <w:p w14:paraId="0ECA79A1" w14:textId="1598E26A" w:rsidR="00DF3B63" w:rsidRDefault="00D00DCC" w:rsidP="00697BFC">
      <w:pPr>
        <w:spacing w:after="0"/>
        <w:jc w:val="both"/>
      </w:pPr>
      <w:r>
        <w:t xml:space="preserve">- </w:t>
      </w:r>
      <w:r w:rsidRPr="00DF3B63">
        <w:rPr>
          <w:b/>
          <w:bCs/>
        </w:rPr>
        <w:t>palivové karty</w:t>
      </w:r>
      <w:r>
        <w:t xml:space="preserve"> by sa mali použiť na nákup produktov, ktoré sa používajú výlučne na prevádzku motorového vozidla a nie ostatných produktov predávaných v predajniach čerpacích staníc</w:t>
      </w:r>
      <w:r w:rsidR="000E02E0">
        <w:t>,</w:t>
      </w:r>
      <w:r>
        <w:t xml:space="preserve"> </w:t>
      </w:r>
    </w:p>
    <w:p w14:paraId="11379FCA" w14:textId="419E9B56" w:rsidR="005A7DAA" w:rsidRDefault="00D00DCC" w:rsidP="00697BFC">
      <w:pPr>
        <w:spacing w:after="0"/>
        <w:jc w:val="both"/>
      </w:pPr>
      <w:r>
        <w:t xml:space="preserve">- </w:t>
      </w:r>
      <w:proofErr w:type="spellStart"/>
      <w:r w:rsidRPr="00DF3B63">
        <w:rPr>
          <w:b/>
          <w:bCs/>
        </w:rPr>
        <w:t>benefitné</w:t>
      </w:r>
      <w:proofErr w:type="spellEnd"/>
      <w:r w:rsidRPr="00DF3B63">
        <w:rPr>
          <w:b/>
          <w:bCs/>
        </w:rPr>
        <w:t xml:space="preserve"> karty</w:t>
      </w:r>
      <w:r>
        <w:t xml:space="preserve"> by mali byť určené na nákup veľmi obmedzeného a funkčne alebo druhovo prepojeného sortimentu tovaru alebo služ</w:t>
      </w:r>
      <w:r w:rsidR="008C4B3C">
        <w:t>ieb</w:t>
      </w:r>
      <w:r>
        <w:t xml:space="preserve"> alebo by mali byť použiteľné výlučne v priestoroch limitovaného poskytovateľa alebo v rámci obmedzenej siete poskytovateľov tovarov alebo služieb, a to na základe priamej obchodnej dohody s limitovaným poskytovateľom</w:t>
      </w:r>
      <w:r w:rsidR="005A7DAA">
        <w:t xml:space="preserve"> </w:t>
      </w:r>
      <w:r w:rsidR="005A7DAA">
        <w:t>(bod 1 a 2)</w:t>
      </w:r>
      <w:r w:rsidR="005A7DAA">
        <w:t xml:space="preserve">; </w:t>
      </w:r>
      <w:proofErr w:type="spellStart"/>
      <w:r w:rsidR="005A7DAA">
        <w:t>benefitné</w:t>
      </w:r>
      <w:proofErr w:type="spellEnd"/>
      <w:r w:rsidR="005A7DAA">
        <w:t xml:space="preserve"> karty môžu byť určené aj na</w:t>
      </w:r>
      <w:r>
        <w:t xml:space="preserve"> </w:t>
      </w:r>
      <w:r w:rsidR="005A7DAA" w:rsidRPr="005A7DAA">
        <w:t>osobitné sociálne účely alebo daňové účely</w:t>
      </w:r>
      <w:r w:rsidR="005A7DAA">
        <w:t xml:space="preserve"> (bod 3),</w:t>
      </w:r>
    </w:p>
    <w:p w14:paraId="2E47B82D" w14:textId="142943C2" w:rsidR="00FF04B5" w:rsidRPr="00564381" w:rsidRDefault="00D00DCC" w:rsidP="00697BFC">
      <w:pPr>
        <w:spacing w:after="0"/>
        <w:jc w:val="both"/>
      </w:pPr>
      <w:r>
        <w:t xml:space="preserve">- </w:t>
      </w:r>
      <w:r w:rsidRPr="00DF3B63">
        <w:rPr>
          <w:b/>
          <w:bCs/>
        </w:rPr>
        <w:t>karty obchodných centier</w:t>
      </w:r>
      <w:r>
        <w:t xml:space="preserve"> môžu spadať pod vylúčenie zo zákona o platobných službách, pokiaľ tieto možno použiť na nákupy u obchodníkov, s ktorými má vydavateľ priame obchodné dohody, pričom priestory týchto obchodníkov sa nachádzajú v konkrétnom nákupnom centre a</w:t>
      </w:r>
      <w:r w:rsidR="008C4B3C">
        <w:t> </w:t>
      </w:r>
      <w:r>
        <w:t>tak</w:t>
      </w:r>
      <w:r w:rsidR="008C4B3C">
        <w:t>ýto prostriedok</w:t>
      </w:r>
      <w:r>
        <w:t xml:space="preserve"> je technicky a funkčne obmedzen</w:t>
      </w:r>
      <w:r w:rsidR="008C4B3C">
        <w:t>ý</w:t>
      </w:r>
      <w:r>
        <w:t xml:space="preserve"> na toto konkrétne nákupné centrum, pričom medzi vydavateľom a obchodníkmi musia byť uzatvorené priame obchodné dohody a túto kartu nie je možné použiť v inom obchodnom centre.</w:t>
      </w:r>
    </w:p>
    <w:sectPr w:rsidR="00FF04B5" w:rsidRPr="00564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920BD" w14:textId="77777777" w:rsidR="00F84D5B" w:rsidRDefault="00F84D5B" w:rsidP="0009480D">
      <w:pPr>
        <w:spacing w:after="0" w:line="240" w:lineRule="auto"/>
      </w:pPr>
      <w:r>
        <w:separator/>
      </w:r>
    </w:p>
  </w:endnote>
  <w:endnote w:type="continuationSeparator" w:id="0">
    <w:p w14:paraId="195EEA4A" w14:textId="77777777" w:rsidR="00F84D5B" w:rsidRDefault="00F84D5B" w:rsidP="00094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68D4" w14:textId="77777777" w:rsidR="0009480D" w:rsidRDefault="0009480D" w:rsidP="0009480D">
    <w:pPr>
      <w:pStyle w:val="Patic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26F8" w14:textId="77777777" w:rsidR="00F84D5B" w:rsidRDefault="00F84D5B" w:rsidP="0009480D">
      <w:pPr>
        <w:spacing w:after="0" w:line="240" w:lineRule="auto"/>
      </w:pPr>
      <w:r>
        <w:separator/>
      </w:r>
    </w:p>
  </w:footnote>
  <w:footnote w:type="continuationSeparator" w:id="0">
    <w:p w14:paraId="5EC08314" w14:textId="77777777" w:rsidR="00F84D5B" w:rsidRDefault="00F84D5B" w:rsidP="00094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77A88"/>
    <w:multiLevelType w:val="multilevel"/>
    <w:tmpl w:val="FBF0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99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CC"/>
    <w:rsid w:val="0009480D"/>
    <w:rsid w:val="000C6C9A"/>
    <w:rsid w:val="000E02E0"/>
    <w:rsid w:val="00130860"/>
    <w:rsid w:val="00153ABD"/>
    <w:rsid w:val="001663B6"/>
    <w:rsid w:val="001A694C"/>
    <w:rsid w:val="001D01FE"/>
    <w:rsid w:val="001D5F9F"/>
    <w:rsid w:val="001F57BF"/>
    <w:rsid w:val="002073AA"/>
    <w:rsid w:val="00221D94"/>
    <w:rsid w:val="00225679"/>
    <w:rsid w:val="002B4CD0"/>
    <w:rsid w:val="002C0E85"/>
    <w:rsid w:val="00320CF4"/>
    <w:rsid w:val="003636B5"/>
    <w:rsid w:val="00392F01"/>
    <w:rsid w:val="004100B0"/>
    <w:rsid w:val="00445B18"/>
    <w:rsid w:val="00496DE1"/>
    <w:rsid w:val="004D7E2D"/>
    <w:rsid w:val="005316F2"/>
    <w:rsid w:val="00564381"/>
    <w:rsid w:val="005939CC"/>
    <w:rsid w:val="005A1CD3"/>
    <w:rsid w:val="005A7DAA"/>
    <w:rsid w:val="006470E3"/>
    <w:rsid w:val="0067069A"/>
    <w:rsid w:val="00697BFC"/>
    <w:rsid w:val="00782367"/>
    <w:rsid w:val="00787300"/>
    <w:rsid w:val="00804D86"/>
    <w:rsid w:val="00815243"/>
    <w:rsid w:val="00897871"/>
    <w:rsid w:val="008C4B3C"/>
    <w:rsid w:val="00931C33"/>
    <w:rsid w:val="00972704"/>
    <w:rsid w:val="009841D6"/>
    <w:rsid w:val="009A6FA0"/>
    <w:rsid w:val="009C2D6E"/>
    <w:rsid w:val="00A719D6"/>
    <w:rsid w:val="00B10F81"/>
    <w:rsid w:val="00B31C02"/>
    <w:rsid w:val="00B42F36"/>
    <w:rsid w:val="00B455AE"/>
    <w:rsid w:val="00BA4BE5"/>
    <w:rsid w:val="00BC4ECD"/>
    <w:rsid w:val="00BE00EE"/>
    <w:rsid w:val="00C35E8A"/>
    <w:rsid w:val="00C3624A"/>
    <w:rsid w:val="00CB7C08"/>
    <w:rsid w:val="00CC3DB1"/>
    <w:rsid w:val="00CE0972"/>
    <w:rsid w:val="00CF58BA"/>
    <w:rsid w:val="00D00DCC"/>
    <w:rsid w:val="00D73437"/>
    <w:rsid w:val="00DD2A06"/>
    <w:rsid w:val="00DF3B63"/>
    <w:rsid w:val="00E80575"/>
    <w:rsid w:val="00F03412"/>
    <w:rsid w:val="00F84D5B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7BEF"/>
  <w15:chartTrackingRefBased/>
  <w15:docId w15:val="{E0579C66-516F-40B3-95D0-687C8734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kern w:val="2"/>
        <w:lang w:val="sk-SK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38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character" w:styleId="Hyperlink">
    <w:name w:val="Hyperlink"/>
    <w:basedOn w:val="DefaultParagraphFont"/>
    <w:uiPriority w:val="99"/>
    <w:unhideWhenUsed/>
    <w:rsid w:val="00697BFC"/>
    <w:rPr>
      <w:color w:val="1C355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BF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0F81"/>
    <w:pPr>
      <w:spacing w:after="0" w:line="240" w:lineRule="auto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455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55A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55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5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9/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Buznová Mariana</dc:creator>
  <cp:keywords/>
  <dc:description/>
  <cp:lastModifiedBy>Buznová Mariana</cp:lastModifiedBy>
  <cp:revision>2</cp:revision>
  <dcterms:created xsi:type="dcterms:W3CDTF">2025-01-22T10:07:00Z</dcterms:created>
  <dcterms:modified xsi:type="dcterms:W3CDTF">2025-01-22T10:07:00Z</dcterms:modified>
</cp:coreProperties>
</file>