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3859" w14:textId="77777777" w:rsidR="00DF6D6D" w:rsidRPr="00DB4D4F" w:rsidRDefault="00DF6D6D" w:rsidP="00DF6D6D">
      <w:pPr>
        <w:jc w:val="center"/>
        <w:rPr>
          <w:rFonts w:ascii="Cambria" w:hAnsi="Cambria"/>
          <w:b/>
          <w:sz w:val="22"/>
          <w:szCs w:val="22"/>
          <w:lang w:eastAsia="cs-CZ"/>
        </w:rPr>
      </w:pPr>
      <w:r w:rsidRPr="00DB4D4F">
        <w:rPr>
          <w:rFonts w:ascii="Cambria" w:hAnsi="Cambria"/>
          <w:b/>
          <w:bCs/>
          <w:sz w:val="22"/>
          <w:szCs w:val="22"/>
        </w:rPr>
        <w:t xml:space="preserve">Metodika na vypracúvanie </w:t>
      </w:r>
      <w:r w:rsidRPr="00DB4D4F">
        <w:rPr>
          <w:rFonts w:ascii="Cambria" w:hAnsi="Cambria"/>
          <w:b/>
          <w:sz w:val="22"/>
          <w:szCs w:val="22"/>
        </w:rPr>
        <w:t xml:space="preserve">výkazu </w:t>
      </w:r>
      <w:r w:rsidRPr="00DB4D4F">
        <w:rPr>
          <w:rFonts w:ascii="Cambria" w:hAnsi="Cambria"/>
          <w:b/>
          <w:sz w:val="22"/>
          <w:szCs w:val="22"/>
          <w:lang w:eastAsia="cs-CZ"/>
        </w:rPr>
        <w:t>Skp (VUP) 12-01</w:t>
      </w:r>
    </w:p>
    <w:p w14:paraId="5F5465B4" w14:textId="77777777" w:rsidR="00DF6D6D" w:rsidRPr="00DB4D4F" w:rsidRDefault="00DF6D6D" w:rsidP="00DF6D6D">
      <w:pPr>
        <w:jc w:val="both"/>
        <w:rPr>
          <w:rFonts w:ascii="Cambria" w:hAnsi="Cambria"/>
          <w:sz w:val="22"/>
          <w:szCs w:val="22"/>
        </w:rPr>
      </w:pPr>
    </w:p>
    <w:p w14:paraId="43CE8D26" w14:textId="77777777" w:rsidR="00DF6D6D" w:rsidRPr="00DB4D4F" w:rsidRDefault="00DF6D6D" w:rsidP="00DF6D6D">
      <w:pPr>
        <w:pStyle w:val="ListParagraph"/>
        <w:numPr>
          <w:ilvl w:val="0"/>
          <w:numId w:val="1"/>
        </w:numPr>
        <w:spacing w:before="120"/>
        <w:ind w:left="567" w:hanging="567"/>
        <w:jc w:val="both"/>
        <w:rPr>
          <w:rFonts w:ascii="Cambria" w:hAnsi="Cambria"/>
          <w:sz w:val="22"/>
          <w:szCs w:val="22"/>
        </w:rPr>
      </w:pPr>
      <w:r w:rsidRPr="00DB4D4F">
        <w:rPr>
          <w:rFonts w:ascii="Cambria" w:hAnsi="Cambria"/>
          <w:sz w:val="22"/>
          <w:szCs w:val="22"/>
        </w:rPr>
        <w:t xml:space="preserve">Hodnotové údaje sa uvádzajú v jednotkách meny euro, zaokrúhlene na dve desatinné miesta. Údaje v cudzej mene sa prepočítajú na euro referenčným výmenným kurzom určeným a vyhláseným Európskou centrálnou bankou alebo Národnou bankou Slovenska platným ku dňu, ku ktorému sa zostavuje výkaz. </w:t>
      </w:r>
    </w:p>
    <w:p w14:paraId="6609C4B7" w14:textId="77777777" w:rsidR="00DF6D6D" w:rsidRPr="00DB4D4F" w:rsidRDefault="00DF6D6D" w:rsidP="00DF6D6D">
      <w:pPr>
        <w:pStyle w:val="ListParagraph"/>
        <w:numPr>
          <w:ilvl w:val="0"/>
          <w:numId w:val="1"/>
        </w:numPr>
        <w:spacing w:before="120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DB4D4F">
        <w:rPr>
          <w:rFonts w:ascii="Cambria" w:hAnsi="Cambria"/>
          <w:sz w:val="22"/>
          <w:szCs w:val="22"/>
        </w:rPr>
        <w:t xml:space="preserve">Riadky vyznačené sivou farbou sa nevypĺňajú. </w:t>
      </w:r>
    </w:p>
    <w:p w14:paraId="1FCC9F7C" w14:textId="77777777" w:rsidR="00DF6D6D" w:rsidRPr="00DB4D4F" w:rsidRDefault="00DF6D6D" w:rsidP="00DF6D6D">
      <w:pPr>
        <w:pStyle w:val="ListParagraph"/>
        <w:numPr>
          <w:ilvl w:val="0"/>
          <w:numId w:val="1"/>
        </w:numPr>
        <w:spacing w:before="120"/>
        <w:ind w:left="567" w:hanging="567"/>
        <w:jc w:val="both"/>
        <w:rPr>
          <w:rFonts w:ascii="Cambria" w:hAnsi="Cambria"/>
          <w:sz w:val="22"/>
          <w:szCs w:val="22"/>
        </w:rPr>
      </w:pPr>
      <w:r w:rsidRPr="00DB4D4F">
        <w:rPr>
          <w:rFonts w:ascii="Cambria" w:hAnsi="Cambria"/>
          <w:sz w:val="22"/>
          <w:szCs w:val="22"/>
        </w:rPr>
        <w:t xml:space="preserve">Východiskovým zdrojom údajov pre vypracovanie výkazu je účtovná závierka  zostavená k poslednému dňu sledovaného účtovného obdobia.   </w:t>
      </w:r>
    </w:p>
    <w:p w14:paraId="080F2D52" w14:textId="45F95393" w:rsidR="00DF6D6D" w:rsidRPr="00DB4D4F" w:rsidRDefault="00DF6D6D" w:rsidP="00DF6D6D">
      <w:pPr>
        <w:pStyle w:val="ListParagraph"/>
        <w:numPr>
          <w:ilvl w:val="0"/>
          <w:numId w:val="1"/>
        </w:numPr>
        <w:spacing w:before="120"/>
        <w:ind w:left="567" w:hanging="567"/>
        <w:jc w:val="both"/>
        <w:rPr>
          <w:rFonts w:ascii="Cambria" w:hAnsi="Cambria"/>
          <w:sz w:val="22"/>
          <w:szCs w:val="22"/>
        </w:rPr>
      </w:pPr>
      <w:r w:rsidRPr="00DB4D4F">
        <w:rPr>
          <w:rFonts w:ascii="Cambria" w:hAnsi="Cambria"/>
          <w:sz w:val="22"/>
          <w:szCs w:val="22"/>
        </w:rPr>
        <w:t>V stĺpcoch 1 až 3 sa vykazujú údaje za hraničné poistenie, PZP a zákonné poistenie. V</w:t>
      </w:r>
      <w:r>
        <w:rPr>
          <w:rFonts w:ascii="Cambria" w:hAnsi="Cambria"/>
          <w:sz w:val="22"/>
          <w:szCs w:val="22"/>
        </w:rPr>
        <w:t> </w:t>
      </w:r>
      <w:r w:rsidRPr="00DB4D4F">
        <w:rPr>
          <w:rFonts w:ascii="Cambria" w:hAnsi="Cambria"/>
          <w:sz w:val="22"/>
          <w:szCs w:val="22"/>
        </w:rPr>
        <w:t>stĺpci</w:t>
      </w:r>
      <w:r>
        <w:rPr>
          <w:rFonts w:ascii="Cambria" w:hAnsi="Cambria"/>
          <w:sz w:val="22"/>
          <w:szCs w:val="22"/>
        </w:rPr>
        <w:t> </w:t>
      </w:r>
      <w:r w:rsidRPr="00DB4D4F">
        <w:rPr>
          <w:rFonts w:ascii="Cambria" w:hAnsi="Cambria"/>
          <w:sz w:val="22"/>
          <w:szCs w:val="22"/>
        </w:rPr>
        <w:t xml:space="preserve">4 sa vykazuje súčet údajov za stĺpce 1 až 3.   </w:t>
      </w:r>
    </w:p>
    <w:p w14:paraId="494A4B06" w14:textId="77777777" w:rsidR="00DF6D6D" w:rsidRPr="00DB4D4F" w:rsidRDefault="00DF6D6D" w:rsidP="00DF6D6D">
      <w:pPr>
        <w:pStyle w:val="ListParagraph"/>
        <w:numPr>
          <w:ilvl w:val="0"/>
          <w:numId w:val="1"/>
        </w:numPr>
        <w:spacing w:before="120"/>
        <w:ind w:left="567" w:hanging="567"/>
        <w:jc w:val="both"/>
        <w:rPr>
          <w:rFonts w:ascii="Cambria" w:hAnsi="Cambria"/>
          <w:sz w:val="22"/>
          <w:szCs w:val="22"/>
        </w:rPr>
      </w:pPr>
      <w:r w:rsidRPr="00DB4D4F">
        <w:rPr>
          <w:rFonts w:ascii="Cambria" w:hAnsi="Cambria"/>
          <w:sz w:val="22"/>
          <w:szCs w:val="22"/>
        </w:rPr>
        <w:t>Pre vybrané údaje z aktív a pasív za bežné účtovné obdobie, ktoré sú zhodné s položkami vykazovanými vo </w:t>
      </w:r>
      <w:bookmarkStart w:id="0" w:name="_Hlk170133325"/>
      <w:r w:rsidRPr="00DB4D4F">
        <w:rPr>
          <w:rFonts w:ascii="Cambria" w:hAnsi="Cambria"/>
          <w:sz w:val="22"/>
          <w:szCs w:val="22"/>
        </w:rPr>
        <w:t xml:space="preserve">Výkaze vybraných údajov z individuálnej účtovnej závierky </w:t>
      </w:r>
      <w:bookmarkEnd w:id="0"/>
      <w:r w:rsidRPr="00DB4D4F">
        <w:rPr>
          <w:rFonts w:ascii="Cambria" w:hAnsi="Cambria"/>
          <w:sz w:val="22"/>
          <w:szCs w:val="22"/>
        </w:rPr>
        <w:t>Slovenskej kancelárie poisťovateľov podľa osobitného predpisu</w:t>
      </w:r>
      <w:r w:rsidRPr="00DB4D4F">
        <w:rPr>
          <w:rStyle w:val="FootnoteReference"/>
          <w:rFonts w:ascii="Cambria" w:hAnsi="Cambria"/>
          <w:sz w:val="22"/>
          <w:szCs w:val="22"/>
        </w:rPr>
        <w:footnoteReference w:id="1"/>
      </w:r>
      <w:r w:rsidRPr="00DB4D4F">
        <w:rPr>
          <w:rFonts w:ascii="Cambria" w:hAnsi="Cambria"/>
          <w:sz w:val="22"/>
          <w:szCs w:val="22"/>
        </w:rPr>
        <w:t xml:space="preserve">) (ďalej len ,,Výkaz vybraných údajov“) platí, že hodnoty v stĺpci „Spolu“ sa rovnajú hodnote vykazovanej vo Výkaze vybraných údajov v Časti I. Vybrané údaje z aktív a pasív v stĺpci „Stav netto - Spolu“. </w:t>
      </w:r>
    </w:p>
    <w:p w14:paraId="422D13C6" w14:textId="77777777" w:rsidR="00DF6D6D" w:rsidRPr="00DB4D4F" w:rsidRDefault="00DF6D6D" w:rsidP="00DF6D6D">
      <w:pPr>
        <w:pStyle w:val="ListParagraph"/>
        <w:numPr>
          <w:ilvl w:val="0"/>
          <w:numId w:val="1"/>
        </w:numPr>
        <w:spacing w:before="120"/>
        <w:ind w:left="567" w:hanging="567"/>
        <w:jc w:val="both"/>
        <w:rPr>
          <w:rFonts w:ascii="Cambria" w:hAnsi="Cambria"/>
          <w:sz w:val="22"/>
          <w:szCs w:val="22"/>
        </w:rPr>
      </w:pPr>
      <w:r w:rsidRPr="00DB4D4F">
        <w:rPr>
          <w:rFonts w:ascii="Cambria" w:hAnsi="Cambria"/>
          <w:sz w:val="22"/>
          <w:szCs w:val="22"/>
        </w:rPr>
        <w:t xml:space="preserve">V porovnaní s Výkazom vybraných údajov sa vykazuje samostatne hodnota regresov a položky pasívneho zaistenia zvlášť za členské poisťovne a ostatných zaisťovateľov. </w:t>
      </w:r>
    </w:p>
    <w:p w14:paraId="565C70AA" w14:textId="77777777" w:rsidR="00DF6D6D" w:rsidRPr="00DB4D4F" w:rsidRDefault="00DF6D6D" w:rsidP="00DF6D6D">
      <w:pPr>
        <w:pStyle w:val="ListParagraph"/>
        <w:numPr>
          <w:ilvl w:val="0"/>
          <w:numId w:val="1"/>
        </w:numPr>
        <w:spacing w:before="120"/>
        <w:ind w:left="567" w:hanging="567"/>
        <w:jc w:val="both"/>
        <w:rPr>
          <w:rFonts w:ascii="Cambria" w:hAnsi="Cambria"/>
          <w:sz w:val="22"/>
          <w:szCs w:val="22"/>
        </w:rPr>
      </w:pPr>
      <w:r w:rsidRPr="00DB4D4F">
        <w:rPr>
          <w:rFonts w:ascii="Cambria" w:hAnsi="Cambria"/>
          <w:sz w:val="22"/>
          <w:szCs w:val="22"/>
        </w:rPr>
        <w:t>Použité skratky:</w:t>
      </w:r>
    </w:p>
    <w:p w14:paraId="335B0C84" w14:textId="77777777" w:rsidR="00DF6D6D" w:rsidRPr="00DB4D4F" w:rsidRDefault="00DF6D6D" w:rsidP="00DF6D6D">
      <w:pPr>
        <w:pStyle w:val="ListParagraph"/>
        <w:tabs>
          <w:tab w:val="left" w:pos="1134"/>
          <w:tab w:val="left" w:pos="1418"/>
        </w:tabs>
        <w:spacing w:before="120"/>
        <w:ind w:left="1418" w:hanging="851"/>
        <w:jc w:val="both"/>
        <w:rPr>
          <w:rFonts w:ascii="Cambria" w:hAnsi="Cambria"/>
          <w:sz w:val="22"/>
          <w:szCs w:val="22"/>
        </w:rPr>
      </w:pPr>
      <w:bookmarkStart w:id="1" w:name="_Hlk169777811"/>
      <w:r w:rsidRPr="00DB4D4F">
        <w:rPr>
          <w:rFonts w:ascii="Cambria" w:hAnsi="Cambria"/>
          <w:b/>
          <w:bCs/>
          <w:sz w:val="22"/>
          <w:szCs w:val="22"/>
        </w:rPr>
        <w:t xml:space="preserve">PZP </w:t>
      </w:r>
      <w:r>
        <w:rPr>
          <w:rFonts w:ascii="Cambria" w:hAnsi="Cambria"/>
          <w:b/>
          <w:bCs/>
          <w:sz w:val="22"/>
          <w:szCs w:val="22"/>
        </w:rPr>
        <w:tab/>
      </w:r>
      <w:r w:rsidRPr="00DB4D4F">
        <w:rPr>
          <w:rFonts w:ascii="Cambria" w:hAnsi="Cambria"/>
          <w:sz w:val="22"/>
          <w:szCs w:val="22"/>
        </w:rPr>
        <w:t xml:space="preserve">- </w:t>
      </w:r>
      <w:r>
        <w:rPr>
          <w:rFonts w:ascii="Cambria" w:hAnsi="Cambria"/>
          <w:sz w:val="22"/>
          <w:szCs w:val="22"/>
        </w:rPr>
        <w:tab/>
      </w:r>
      <w:r w:rsidRPr="00DB4D4F">
        <w:rPr>
          <w:rFonts w:ascii="Cambria" w:hAnsi="Cambria"/>
          <w:sz w:val="22"/>
          <w:szCs w:val="22"/>
        </w:rPr>
        <w:t>povinné zmluvné poistenie zodpovednosti za škodu spôsobenú prevádzkou motorového vozidla,</w:t>
      </w:r>
    </w:p>
    <w:bookmarkEnd w:id="1"/>
    <w:p w14:paraId="46FBE6DD" w14:textId="77777777" w:rsidR="00DF6D6D" w:rsidRPr="00DB4D4F" w:rsidRDefault="00DF6D6D" w:rsidP="00DF6D6D">
      <w:pPr>
        <w:pStyle w:val="ListParagraph"/>
        <w:tabs>
          <w:tab w:val="left" w:pos="1134"/>
          <w:tab w:val="left" w:pos="1418"/>
        </w:tabs>
        <w:spacing w:before="120"/>
        <w:ind w:left="1418" w:hanging="851"/>
        <w:jc w:val="both"/>
        <w:rPr>
          <w:rFonts w:ascii="Cambria" w:hAnsi="Cambria"/>
          <w:sz w:val="22"/>
          <w:szCs w:val="22"/>
        </w:rPr>
      </w:pPr>
      <w:r w:rsidRPr="00DB4D4F">
        <w:rPr>
          <w:rFonts w:ascii="Cambria" w:hAnsi="Cambria"/>
          <w:b/>
          <w:bCs/>
          <w:sz w:val="22"/>
          <w:szCs w:val="22"/>
        </w:rPr>
        <w:t>R</w:t>
      </w:r>
      <w:r w:rsidRPr="00DB4D4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 w:rsidRPr="00DB4D4F">
        <w:rPr>
          <w:rFonts w:ascii="Cambria" w:hAnsi="Cambria"/>
          <w:sz w:val="22"/>
          <w:szCs w:val="22"/>
        </w:rPr>
        <w:t>-</w:t>
      </w:r>
      <w:r w:rsidRPr="00DB4D4F">
        <w:rPr>
          <w:rFonts w:ascii="Cambria" w:hAnsi="Cambria"/>
          <w:sz w:val="22"/>
          <w:szCs w:val="22"/>
        </w:rPr>
        <w:tab/>
        <w:t>číslo riadku.</w:t>
      </w:r>
    </w:p>
    <w:p w14:paraId="48D48DFE" w14:textId="77777777" w:rsidR="00DF6D6D" w:rsidRPr="00DB4D4F" w:rsidRDefault="00DF6D6D" w:rsidP="00DF6D6D">
      <w:pPr>
        <w:pStyle w:val="ListParagraph"/>
        <w:tabs>
          <w:tab w:val="left" w:pos="993"/>
          <w:tab w:val="left" w:pos="1276"/>
        </w:tabs>
        <w:spacing w:before="120"/>
        <w:ind w:left="567"/>
        <w:jc w:val="both"/>
        <w:rPr>
          <w:rFonts w:ascii="Cambria" w:hAnsi="Cambria"/>
          <w:sz w:val="22"/>
          <w:szCs w:val="22"/>
        </w:rPr>
      </w:pPr>
    </w:p>
    <w:p w14:paraId="1703AD45" w14:textId="77777777" w:rsidR="00FF04B5" w:rsidRPr="00564381" w:rsidRDefault="00FF04B5" w:rsidP="00B42F36"/>
    <w:sectPr w:rsidR="00FF04B5" w:rsidRPr="0056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2F63" w14:textId="77777777" w:rsidR="00DF6D6D" w:rsidRDefault="00DF6D6D" w:rsidP="0009480D">
      <w:r>
        <w:separator/>
      </w:r>
    </w:p>
  </w:endnote>
  <w:endnote w:type="continuationSeparator" w:id="0">
    <w:p w14:paraId="22A02768" w14:textId="77777777" w:rsidR="00DF6D6D" w:rsidRDefault="00DF6D6D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9DBE" w14:textId="77777777" w:rsidR="00DF6D6D" w:rsidRDefault="00DF6D6D" w:rsidP="0009480D">
      <w:r>
        <w:separator/>
      </w:r>
    </w:p>
  </w:footnote>
  <w:footnote w:type="continuationSeparator" w:id="0">
    <w:p w14:paraId="18797D98" w14:textId="77777777" w:rsidR="00DF6D6D" w:rsidRDefault="00DF6D6D" w:rsidP="0009480D">
      <w:r>
        <w:continuationSeparator/>
      </w:r>
    </w:p>
  </w:footnote>
  <w:footnote w:id="1">
    <w:p w14:paraId="1D581DB8" w14:textId="77777777" w:rsidR="00DF6D6D" w:rsidRPr="001603BE" w:rsidRDefault="00DF6D6D" w:rsidP="00DF6D6D">
      <w:pPr>
        <w:pStyle w:val="FootnoteText"/>
        <w:ind w:left="426" w:hanging="426"/>
        <w:jc w:val="both"/>
        <w:rPr>
          <w:rFonts w:asciiTheme="majorHAnsi" w:hAnsiTheme="majorHAnsi"/>
          <w:sz w:val="16"/>
          <w:szCs w:val="16"/>
        </w:rPr>
      </w:pPr>
      <w:r w:rsidRPr="001603BE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1603BE">
        <w:rPr>
          <w:rFonts w:asciiTheme="majorHAnsi" w:hAnsiTheme="majorHAnsi"/>
          <w:sz w:val="16"/>
          <w:szCs w:val="16"/>
        </w:rPr>
        <w:t xml:space="preserve">) </w:t>
      </w:r>
      <w:r>
        <w:rPr>
          <w:rFonts w:asciiTheme="majorHAnsi" w:hAnsiTheme="majorHAnsi"/>
          <w:sz w:val="16"/>
          <w:szCs w:val="16"/>
        </w:rPr>
        <w:tab/>
      </w:r>
      <w:r w:rsidRPr="001603BE">
        <w:rPr>
          <w:rFonts w:asciiTheme="majorHAnsi" w:hAnsiTheme="majorHAnsi"/>
          <w:sz w:val="16"/>
          <w:szCs w:val="16"/>
        </w:rPr>
        <w:t>Opatrenie Ministerstva financií Slovenskej republiky z 8. decembra 2011 č. MF/25918/2011-74, ktorým sa ustanovuje rozsah, spôsob, miesto a termíny ukladania výkazu vybraných údajov z individuálnej účtovnej závierky pre účtovné jednotky, ktorými sú poisťovne, pobočky zahraničnej poisťovne, zaisťovne, pobočky zahraničnej zaisťovne, Slovenská kancelária poisťovateľov a Exportno-importná banka Slovenskej republiky v znení neskorších predpisov (oznámenie č. 557/2011 Z. z.).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A31"/>
    <w:multiLevelType w:val="hybridMultilevel"/>
    <w:tmpl w:val="3FB44BCC"/>
    <w:lvl w:ilvl="0" w:tplc="5008DC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94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removePersonalInformation/>
  <w:removeDateAndTime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6D"/>
    <w:rsid w:val="0009480D"/>
    <w:rsid w:val="00130860"/>
    <w:rsid w:val="001362BB"/>
    <w:rsid w:val="001663B6"/>
    <w:rsid w:val="001A694C"/>
    <w:rsid w:val="001A7C17"/>
    <w:rsid w:val="001D01FE"/>
    <w:rsid w:val="001D5F9F"/>
    <w:rsid w:val="001F7BBA"/>
    <w:rsid w:val="00225679"/>
    <w:rsid w:val="002B4CD0"/>
    <w:rsid w:val="003432B9"/>
    <w:rsid w:val="003636B5"/>
    <w:rsid w:val="00392F01"/>
    <w:rsid w:val="003C1925"/>
    <w:rsid w:val="004100B0"/>
    <w:rsid w:val="00445B18"/>
    <w:rsid w:val="004859B4"/>
    <w:rsid w:val="004D7E2D"/>
    <w:rsid w:val="00510CCA"/>
    <w:rsid w:val="005316F2"/>
    <w:rsid w:val="00562DFA"/>
    <w:rsid w:val="00564381"/>
    <w:rsid w:val="005761D5"/>
    <w:rsid w:val="005939CC"/>
    <w:rsid w:val="005959F3"/>
    <w:rsid w:val="005A013C"/>
    <w:rsid w:val="005A1CD3"/>
    <w:rsid w:val="006470E3"/>
    <w:rsid w:val="00647A3B"/>
    <w:rsid w:val="006659B2"/>
    <w:rsid w:val="006D7249"/>
    <w:rsid w:val="00741DD7"/>
    <w:rsid w:val="00782367"/>
    <w:rsid w:val="00787300"/>
    <w:rsid w:val="008A0A33"/>
    <w:rsid w:val="00961B28"/>
    <w:rsid w:val="009841D6"/>
    <w:rsid w:val="009A6FA0"/>
    <w:rsid w:val="009B65AE"/>
    <w:rsid w:val="00A719D6"/>
    <w:rsid w:val="00AF7FAE"/>
    <w:rsid w:val="00B1603D"/>
    <w:rsid w:val="00B31C02"/>
    <w:rsid w:val="00B42F36"/>
    <w:rsid w:val="00BA4BE5"/>
    <w:rsid w:val="00C07F8A"/>
    <w:rsid w:val="00C35E8A"/>
    <w:rsid w:val="00CB7C08"/>
    <w:rsid w:val="00CD0C4F"/>
    <w:rsid w:val="00CD465A"/>
    <w:rsid w:val="00D2793E"/>
    <w:rsid w:val="00DF6D6D"/>
    <w:rsid w:val="00E2305C"/>
    <w:rsid w:val="00EA1780"/>
    <w:rsid w:val="00EA6FD5"/>
    <w:rsid w:val="00ED6745"/>
    <w:rsid w:val="00F743C0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6AF0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D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D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D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D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D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D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D6D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D6D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D6D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D6D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D6D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D6D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F6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D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D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D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D6D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DF6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D6D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D6D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D6D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DF6D6D"/>
    <w:rPr>
      <w:b/>
      <w:bCs/>
      <w:smallCaps/>
      <w:color w:val="004C80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DF6D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6D6D"/>
    <w:rPr>
      <w:rFonts w:ascii="Times New Roman" w:eastAsia="Times New Roman" w:hAnsi="Times New Roman" w:cs="Times New Roman"/>
      <w:lang w:eastAsia="sk-SK"/>
    </w:rPr>
  </w:style>
  <w:style w:type="character" w:styleId="FootnoteReference">
    <w:name w:val="footnote reference"/>
    <w:aliases w:val="16 Point,Superscript 6 Point,Footnote Reference Number,Footnote Reference_LVL6,Footnote Reference_LVL61,Footnote Reference_LVL62,Footnote Reference_LVL63,Footnote Reference_LVL64,Footnote call,BVI fnr,SUPERS"/>
    <w:basedOn w:val="DefaultParagraphFont"/>
    <w:unhideWhenUsed/>
    <w:rsid w:val="00DF6D6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DF6D6D"/>
    <w:rPr>
      <w:sz w:val="22"/>
    </w:rPr>
  </w:style>
  <w:style w:type="paragraph" w:styleId="Revision">
    <w:name w:val="Revision"/>
    <w:hidden/>
    <w:uiPriority w:val="99"/>
    <w:semiHidden/>
    <w:rsid w:val="00DF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2026-03-25T09:29:00Z</dcterms:created>
  <dcterms:modified xsi:type="dcterms:W3CDTF">2026-03-31T09:51:00Z</dcterms:modified>
</cp:coreProperties>
</file>