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D5AE" w14:textId="0CE20B12" w:rsidR="00082911" w:rsidRPr="00F11185" w:rsidRDefault="00D27CD9" w:rsidP="00D27CD9">
      <w:pPr>
        <w:pStyle w:val="Heading1"/>
        <w:spacing w:before="78" w:line="242" w:lineRule="auto"/>
        <w:ind w:left="426" w:right="420" w:hanging="4"/>
        <w:jc w:val="center"/>
      </w:pPr>
      <w:r w:rsidRPr="00F11185">
        <w:t xml:space="preserve">Guidance </w:t>
      </w:r>
      <w:r w:rsidR="0080336C" w:rsidRPr="00F11185">
        <w:t xml:space="preserve">on </w:t>
      </w:r>
      <w:r w:rsidR="0052453F" w:rsidRPr="00F11185">
        <w:t>applying</w:t>
      </w:r>
      <w:r w:rsidR="0080336C" w:rsidRPr="00F11185">
        <w:t xml:space="preserve"> reporting obligation </w:t>
      </w:r>
      <w:r w:rsidR="00923CD5" w:rsidRPr="00F11185">
        <w:t xml:space="preserve">exemptions for </w:t>
      </w:r>
      <w:r w:rsidR="008F02AE" w:rsidRPr="00F11185">
        <w:t>intragroup derivative transactions</w:t>
      </w:r>
      <w:r w:rsidR="008F02AE" w:rsidRPr="00F11185" w:rsidDel="00231349">
        <w:t xml:space="preserve"> </w:t>
      </w:r>
      <w:r w:rsidR="00923CD5" w:rsidRPr="00F11185">
        <w:t>pursuant to</w:t>
      </w:r>
      <w:r w:rsidR="0052453F" w:rsidRPr="00F11185">
        <w:t xml:space="preserve"> Article </w:t>
      </w:r>
      <w:r w:rsidR="0059166B" w:rsidRPr="00F11185">
        <w:t>9</w:t>
      </w:r>
      <w:r w:rsidR="0052453F" w:rsidRPr="00F11185">
        <w:t>(</w:t>
      </w:r>
      <w:r w:rsidR="0059166B" w:rsidRPr="00F11185">
        <w:t>1</w:t>
      </w:r>
      <w:r w:rsidR="0052453F" w:rsidRPr="00F11185">
        <w:t xml:space="preserve">) of </w:t>
      </w:r>
      <w:r w:rsidR="0059166B" w:rsidRPr="00F11185">
        <w:t xml:space="preserve">EMIR as amended by </w:t>
      </w:r>
      <w:r w:rsidR="0052453F" w:rsidRPr="00F11185">
        <w:t xml:space="preserve">Regulation (EU) 2019/834 </w:t>
      </w:r>
      <w:r w:rsidR="00231349" w:rsidRPr="00F11185">
        <w:t>(EMIR Refit)</w:t>
      </w:r>
      <w:r w:rsidR="0052453F" w:rsidRPr="00F11185">
        <w:t xml:space="preserve"> </w:t>
      </w:r>
    </w:p>
    <w:p w14:paraId="2D36588B" w14:textId="77777777" w:rsidR="00082911" w:rsidRPr="00F11185" w:rsidRDefault="00082911">
      <w:pPr>
        <w:pStyle w:val="BodyText"/>
        <w:spacing w:before="4"/>
        <w:rPr>
          <w:b/>
          <w:sz w:val="27"/>
        </w:rPr>
      </w:pPr>
    </w:p>
    <w:p w14:paraId="18EF884B" w14:textId="77777777" w:rsidR="00082911" w:rsidRPr="00F11185" w:rsidRDefault="0080336C">
      <w:pPr>
        <w:pStyle w:val="Heading2"/>
        <w:ind w:left="320" w:right="321"/>
        <w:jc w:val="center"/>
      </w:pPr>
      <w:r w:rsidRPr="00F11185">
        <w:t>General information</w:t>
      </w:r>
    </w:p>
    <w:p w14:paraId="3230D9DF" w14:textId="087250D8" w:rsidR="00202DD1" w:rsidRPr="00F11185" w:rsidRDefault="0080336C">
      <w:pPr>
        <w:pStyle w:val="ListParagraph"/>
        <w:numPr>
          <w:ilvl w:val="0"/>
          <w:numId w:val="7"/>
        </w:numPr>
        <w:tabs>
          <w:tab w:val="left" w:pos="477"/>
        </w:tabs>
        <w:ind w:right="112"/>
        <w:rPr>
          <w:b/>
          <w:sz w:val="23"/>
        </w:rPr>
      </w:pPr>
      <w:r w:rsidRPr="00F11185">
        <w:rPr>
          <w:sz w:val="23"/>
        </w:rPr>
        <w:t xml:space="preserve">Pursuant to Article </w:t>
      </w:r>
      <w:r w:rsidR="00202DD1" w:rsidRPr="00F11185">
        <w:rPr>
          <w:sz w:val="23"/>
        </w:rPr>
        <w:t>9</w:t>
      </w:r>
      <w:r w:rsidRPr="00F11185">
        <w:rPr>
          <w:sz w:val="23"/>
        </w:rPr>
        <w:t>(</w:t>
      </w:r>
      <w:r w:rsidR="00202DD1" w:rsidRPr="00F11185">
        <w:rPr>
          <w:sz w:val="23"/>
        </w:rPr>
        <w:t>1</w:t>
      </w:r>
      <w:r w:rsidRPr="00F11185">
        <w:rPr>
          <w:sz w:val="23"/>
        </w:rPr>
        <w:t xml:space="preserve">) of </w:t>
      </w:r>
      <w:r w:rsidR="00202DD1" w:rsidRPr="00F11185">
        <w:rPr>
          <w:sz w:val="23"/>
        </w:rPr>
        <w:t xml:space="preserve"> EMIR as amended by </w:t>
      </w:r>
      <w:r w:rsidRPr="00F11185">
        <w:rPr>
          <w:sz w:val="23"/>
        </w:rPr>
        <w:t xml:space="preserve">Regulation (EU) 2019/834 </w:t>
      </w:r>
      <w:r w:rsidR="00231349" w:rsidRPr="00F11185">
        <w:rPr>
          <w:sz w:val="23"/>
        </w:rPr>
        <w:t xml:space="preserve">of the European Parliament and of the Council </w:t>
      </w:r>
      <w:r w:rsidRPr="00F11185">
        <w:rPr>
          <w:sz w:val="23"/>
        </w:rPr>
        <w:t>of 20 May 2019 amending Regulation (EU) No 648/2012 (EMIR) as regards the clearing obligation, the suspension of the clearing obligation, the reporting requirements, the risk-mitigation techniques for OTC derivative contracts not cleared by a central counterparty, the registration and supervision of trade repositories and the requirements for trade repositories (hereinafter ‘</w:t>
      </w:r>
      <w:r w:rsidRPr="00F11185">
        <w:rPr>
          <w:b/>
          <w:sz w:val="23"/>
        </w:rPr>
        <w:t>EMIR Refit</w:t>
      </w:r>
      <w:r w:rsidRPr="00F11185">
        <w:rPr>
          <w:sz w:val="23"/>
        </w:rPr>
        <w:t>’)</w:t>
      </w:r>
    </w:p>
    <w:p w14:paraId="0BB659F2" w14:textId="23CE154C" w:rsidR="00082911" w:rsidRPr="00F11185" w:rsidRDefault="00000A4D" w:rsidP="0038765F">
      <w:pPr>
        <w:pStyle w:val="Default"/>
        <w:ind w:left="476"/>
        <w:jc w:val="both"/>
        <w:rPr>
          <w:i/>
        </w:rPr>
      </w:pPr>
      <w:r w:rsidRPr="00F11185">
        <w:rPr>
          <w:i/>
          <w:iCs/>
        </w:rPr>
        <w:t>“</w:t>
      </w:r>
      <w:r w:rsidR="0080336C" w:rsidRPr="00F11185">
        <w:rPr>
          <w:i/>
          <w:iCs/>
          <w:lang w:val="en-GB"/>
        </w:rPr>
        <w:t>Counterparties and CCPs shall ensure t</w:t>
      </w:r>
      <w:r w:rsidR="0080336C" w:rsidRPr="00F11185">
        <w:rPr>
          <w:i/>
          <w:lang w:val="en-GB"/>
        </w:rPr>
        <w:t>hat the details of any derivative contract they have concluded and of any modification or termination of the contract are reported in accordance with paragraphs 1a to 1f of this Article to a trade repository registered in accordance with Article 55 or recognised in accordance with</w:t>
      </w:r>
      <w:r w:rsidR="0080336C" w:rsidRPr="00F11185">
        <w:rPr>
          <w:i/>
        </w:rPr>
        <w:t xml:space="preserve"> Article 77. The details shall be reported no later than the working day following the conclusion, modification or termination of the contract.</w:t>
      </w:r>
    </w:p>
    <w:p w14:paraId="6DA54D24" w14:textId="77777777" w:rsidR="00082911" w:rsidRPr="00F11185" w:rsidRDefault="00082911">
      <w:pPr>
        <w:pStyle w:val="BodyText"/>
        <w:spacing w:before="10"/>
        <w:rPr>
          <w:i/>
          <w:sz w:val="26"/>
        </w:rPr>
      </w:pPr>
    </w:p>
    <w:p w14:paraId="798D3FB2" w14:textId="77777777" w:rsidR="00082911" w:rsidRPr="00F11185" w:rsidRDefault="0080336C">
      <w:pPr>
        <w:ind w:left="476"/>
        <w:rPr>
          <w:i/>
        </w:rPr>
      </w:pPr>
      <w:r w:rsidRPr="00F11185">
        <w:rPr>
          <w:i/>
        </w:rPr>
        <w:t>The reporting obligation shall apply to derivative contracts which:</w:t>
      </w:r>
    </w:p>
    <w:p w14:paraId="3AD19AA8" w14:textId="77777777" w:rsidR="00082911" w:rsidRPr="00F11185" w:rsidRDefault="00082911">
      <w:pPr>
        <w:pStyle w:val="BodyText"/>
        <w:spacing w:before="7"/>
        <w:rPr>
          <w:i/>
          <w:sz w:val="26"/>
        </w:rPr>
      </w:pPr>
    </w:p>
    <w:p w14:paraId="1626F6C6" w14:textId="77777777" w:rsidR="00082911" w:rsidRPr="00F11185" w:rsidRDefault="0080336C">
      <w:pPr>
        <w:pStyle w:val="ListParagraph"/>
        <w:numPr>
          <w:ilvl w:val="1"/>
          <w:numId w:val="7"/>
        </w:numPr>
        <w:tabs>
          <w:tab w:val="left" w:pos="715"/>
        </w:tabs>
        <w:ind w:left="714" w:hanging="238"/>
        <w:rPr>
          <w:i/>
        </w:rPr>
      </w:pPr>
      <w:r w:rsidRPr="00F11185">
        <w:rPr>
          <w:i/>
        </w:rPr>
        <w:t>were entered into before 12 February 2014 and remain outstanding on that date;</w:t>
      </w:r>
    </w:p>
    <w:p w14:paraId="6FD5D84D" w14:textId="77777777" w:rsidR="00082911" w:rsidRPr="00F11185" w:rsidRDefault="0080336C">
      <w:pPr>
        <w:pStyle w:val="ListParagraph"/>
        <w:numPr>
          <w:ilvl w:val="1"/>
          <w:numId w:val="7"/>
        </w:numPr>
        <w:tabs>
          <w:tab w:val="left" w:pos="715"/>
        </w:tabs>
        <w:spacing w:before="28"/>
        <w:ind w:left="714" w:hanging="238"/>
        <w:rPr>
          <w:i/>
        </w:rPr>
      </w:pPr>
      <w:r w:rsidRPr="00F11185">
        <w:rPr>
          <w:i/>
        </w:rPr>
        <w:t>were entered into on or after 12 February 2014.</w:t>
      </w:r>
    </w:p>
    <w:p w14:paraId="79D80206" w14:textId="77777777" w:rsidR="00082911" w:rsidRPr="00F11185" w:rsidRDefault="00082911">
      <w:pPr>
        <w:pStyle w:val="BodyText"/>
        <w:spacing w:before="5"/>
        <w:rPr>
          <w:i/>
          <w:sz w:val="26"/>
        </w:rPr>
      </w:pPr>
    </w:p>
    <w:p w14:paraId="6ED28A5A" w14:textId="10318475" w:rsidR="00082911" w:rsidRPr="00F11185" w:rsidRDefault="0080336C">
      <w:pPr>
        <w:spacing w:line="242" w:lineRule="auto"/>
        <w:ind w:left="476" w:right="115"/>
        <w:jc w:val="both"/>
        <w:rPr>
          <w:b/>
          <w:i/>
        </w:rPr>
      </w:pPr>
      <w:r w:rsidRPr="00F11185">
        <w:rPr>
          <w:i/>
        </w:rPr>
        <w:t xml:space="preserve">Notwithstanding Article 3, </w:t>
      </w:r>
      <w:r w:rsidRPr="00F11185">
        <w:rPr>
          <w:b/>
          <w:bCs/>
          <w:i/>
        </w:rPr>
        <w:t>the reporting obligation shall not apply to derivative contracts within the same group where</w:t>
      </w:r>
      <w:r w:rsidRPr="00F11185">
        <w:rPr>
          <w:i/>
        </w:rPr>
        <w:t xml:space="preserve"> </w:t>
      </w:r>
      <w:r w:rsidRPr="00F11185">
        <w:rPr>
          <w:b/>
          <w:bCs/>
          <w:i/>
          <w:color w:val="2E5395"/>
        </w:rPr>
        <w:t>at least one of the</w:t>
      </w:r>
      <w:r w:rsidRPr="00F11185">
        <w:rPr>
          <w:i/>
          <w:color w:val="2E5395"/>
        </w:rPr>
        <w:t xml:space="preserve"> </w:t>
      </w:r>
      <w:r w:rsidRPr="00F11185">
        <w:rPr>
          <w:b/>
          <w:bCs/>
          <w:i/>
          <w:color w:val="2E5395"/>
        </w:rPr>
        <w:t>counterparties is a non-financial counterparty</w:t>
      </w:r>
      <w:r w:rsidRPr="00F11185">
        <w:rPr>
          <w:i/>
        </w:rPr>
        <w:t xml:space="preserve"> </w:t>
      </w:r>
      <w:r w:rsidRPr="00F11185">
        <w:rPr>
          <w:b/>
          <w:bCs/>
          <w:i/>
        </w:rPr>
        <w:t xml:space="preserve">or would be qualified as a non-financial counterparty if it </w:t>
      </w:r>
      <w:r w:rsidR="001C701D" w:rsidRPr="00F11185">
        <w:rPr>
          <w:b/>
          <w:bCs/>
          <w:i/>
        </w:rPr>
        <w:t>were</w:t>
      </w:r>
      <w:r w:rsidRPr="00F11185">
        <w:rPr>
          <w:b/>
          <w:bCs/>
          <w:i/>
        </w:rPr>
        <w:t xml:space="preserve"> established in the Union, provided that:</w:t>
      </w:r>
    </w:p>
    <w:p w14:paraId="1E12875F" w14:textId="77777777" w:rsidR="00082911" w:rsidRPr="00F11185" w:rsidRDefault="00082911">
      <w:pPr>
        <w:pStyle w:val="BodyText"/>
        <w:spacing w:before="3"/>
        <w:rPr>
          <w:b/>
          <w:i/>
          <w:sz w:val="26"/>
        </w:rPr>
      </w:pPr>
    </w:p>
    <w:p w14:paraId="47E017E9" w14:textId="77777777" w:rsidR="00082911" w:rsidRPr="00F11185" w:rsidRDefault="0080336C">
      <w:pPr>
        <w:pStyle w:val="ListParagraph"/>
        <w:numPr>
          <w:ilvl w:val="0"/>
          <w:numId w:val="6"/>
        </w:numPr>
        <w:tabs>
          <w:tab w:val="left" w:pos="717"/>
        </w:tabs>
        <w:rPr>
          <w:b/>
          <w:i/>
        </w:rPr>
      </w:pPr>
      <w:r w:rsidRPr="00F11185">
        <w:rPr>
          <w:b/>
          <w:i/>
        </w:rPr>
        <w:t>both counterparties are included in the same consolidation on a full basis;</w:t>
      </w:r>
    </w:p>
    <w:p w14:paraId="7B021BA9" w14:textId="56B335F9" w:rsidR="00082911" w:rsidRPr="00F11185" w:rsidRDefault="0080336C">
      <w:pPr>
        <w:pStyle w:val="ListParagraph"/>
        <w:numPr>
          <w:ilvl w:val="0"/>
          <w:numId w:val="6"/>
        </w:numPr>
        <w:tabs>
          <w:tab w:val="left" w:pos="753"/>
        </w:tabs>
        <w:spacing w:before="25"/>
        <w:ind w:left="476" w:right="112" w:firstLine="0"/>
        <w:rPr>
          <w:b/>
          <w:i/>
        </w:rPr>
      </w:pPr>
      <w:r w:rsidRPr="00F11185">
        <w:rPr>
          <w:b/>
          <w:i/>
        </w:rPr>
        <w:t>both counterparties are subject to appropriate centralised risk evaluation, measurement and control</w:t>
      </w:r>
      <w:r w:rsidR="001C701D" w:rsidRPr="00F11185">
        <w:rPr>
          <w:b/>
          <w:i/>
        </w:rPr>
        <w:t xml:space="preserve"> procedures</w:t>
      </w:r>
      <w:r w:rsidRPr="00F11185">
        <w:rPr>
          <w:b/>
          <w:i/>
        </w:rPr>
        <w:t xml:space="preserve">; and </w:t>
      </w:r>
    </w:p>
    <w:p w14:paraId="1AEC1051" w14:textId="77777777" w:rsidR="00082911" w:rsidRPr="00F11185" w:rsidRDefault="0080336C">
      <w:pPr>
        <w:pStyle w:val="ListParagraph"/>
        <w:numPr>
          <w:ilvl w:val="0"/>
          <w:numId w:val="6"/>
        </w:numPr>
        <w:tabs>
          <w:tab w:val="left" w:pos="702"/>
        </w:tabs>
        <w:spacing w:before="30"/>
        <w:ind w:left="702" w:hanging="226"/>
        <w:rPr>
          <w:b/>
          <w:i/>
        </w:rPr>
      </w:pPr>
      <w:r w:rsidRPr="00F11185">
        <w:rPr>
          <w:b/>
          <w:i/>
          <w:color w:val="2E5395"/>
        </w:rPr>
        <w:t>the parent undertaking is not a financial counterparty.</w:t>
      </w:r>
    </w:p>
    <w:p w14:paraId="6D3AB8E2" w14:textId="77777777" w:rsidR="00082911" w:rsidRPr="00F11185" w:rsidRDefault="00082911">
      <w:pPr>
        <w:pStyle w:val="BodyText"/>
        <w:spacing w:before="4"/>
        <w:rPr>
          <w:b/>
          <w:i/>
          <w:sz w:val="26"/>
        </w:rPr>
      </w:pPr>
    </w:p>
    <w:p w14:paraId="00D39E8E" w14:textId="66D933DE" w:rsidR="00082911" w:rsidRPr="00F11185" w:rsidRDefault="0080336C">
      <w:pPr>
        <w:ind w:left="476" w:right="118"/>
        <w:jc w:val="both"/>
        <w:rPr>
          <w:i/>
        </w:rPr>
      </w:pPr>
      <w:r w:rsidRPr="00F11185">
        <w:rPr>
          <w:b/>
          <w:i/>
        </w:rPr>
        <w:t xml:space="preserve">Counterparties shall notify their competent authorities of their intention to apply the exemption referred to in the third subparagraph. </w:t>
      </w:r>
      <w:r w:rsidRPr="00F11185">
        <w:rPr>
          <w:b/>
          <w:bCs/>
          <w:i/>
        </w:rPr>
        <w:t>The exemption shall be valid unless the notified competent authorities do not agree upon fulfilment of the conditions referred to in the third subparagraph within three months of the date of notification.</w:t>
      </w:r>
      <w:r w:rsidR="00F70F6C" w:rsidRPr="00F11185">
        <w:rPr>
          <w:b/>
          <w:bCs/>
          <w:i/>
        </w:rPr>
        <w:t>”</w:t>
      </w:r>
    </w:p>
    <w:p w14:paraId="46ACE685" w14:textId="77777777" w:rsidR="00082911" w:rsidRPr="00F11185" w:rsidRDefault="00082911" w:rsidP="00301E3E">
      <w:pPr>
        <w:tabs>
          <w:tab w:val="left" w:pos="837"/>
        </w:tabs>
        <w:spacing w:before="26"/>
        <w:ind w:right="118"/>
        <w:rPr>
          <w:sz w:val="23"/>
        </w:rPr>
      </w:pPr>
    </w:p>
    <w:p w14:paraId="72144A17" w14:textId="35A7C3E9" w:rsidR="00082911" w:rsidRPr="00F11185" w:rsidRDefault="001C701D">
      <w:pPr>
        <w:pStyle w:val="ListParagraph"/>
        <w:numPr>
          <w:ilvl w:val="0"/>
          <w:numId w:val="7"/>
        </w:numPr>
        <w:tabs>
          <w:tab w:val="left" w:pos="477"/>
        </w:tabs>
        <w:ind w:right="121"/>
        <w:rPr>
          <w:sz w:val="23"/>
        </w:rPr>
      </w:pPr>
      <w:r w:rsidRPr="00F11185">
        <w:rPr>
          <w:b/>
          <w:bCs/>
          <w:sz w:val="23"/>
        </w:rPr>
        <w:t>Intragroup transactions</w:t>
      </w:r>
      <w:r w:rsidR="0080336C" w:rsidRPr="00F11185">
        <w:rPr>
          <w:sz w:val="23"/>
        </w:rPr>
        <w:t xml:space="preserve"> are defined in Article 3 of EMIR. </w:t>
      </w:r>
      <w:r w:rsidR="00A12BA0" w:rsidRPr="00F11185">
        <w:rPr>
          <w:sz w:val="23"/>
        </w:rPr>
        <w:t>With respect</w:t>
      </w:r>
      <w:r w:rsidRPr="00F11185">
        <w:rPr>
          <w:sz w:val="23"/>
        </w:rPr>
        <w:t xml:space="preserve"> to intragroup transactions </w:t>
      </w:r>
      <w:r w:rsidR="00F70F6C" w:rsidRPr="00F11185">
        <w:rPr>
          <w:sz w:val="23"/>
        </w:rPr>
        <w:t>in the form of</w:t>
      </w:r>
      <w:r w:rsidRPr="00F11185">
        <w:rPr>
          <w:sz w:val="23"/>
        </w:rPr>
        <w:t xml:space="preserve"> OTC derivative contracts, </w:t>
      </w:r>
      <w:r w:rsidR="0080336C" w:rsidRPr="00F11185">
        <w:rPr>
          <w:sz w:val="23"/>
        </w:rPr>
        <w:t xml:space="preserve">counterparties must meet </w:t>
      </w:r>
      <w:r w:rsidRPr="00F11185">
        <w:rPr>
          <w:sz w:val="23"/>
        </w:rPr>
        <w:t>the following general conditions</w:t>
      </w:r>
      <w:r w:rsidR="0080336C" w:rsidRPr="00F11185">
        <w:rPr>
          <w:sz w:val="23"/>
        </w:rPr>
        <w:t>:</w:t>
      </w:r>
    </w:p>
    <w:p w14:paraId="0F6B4307" w14:textId="00138994" w:rsidR="00082911" w:rsidRPr="00F11185" w:rsidRDefault="0080336C">
      <w:pPr>
        <w:pStyle w:val="ListParagraph"/>
        <w:numPr>
          <w:ilvl w:val="1"/>
          <w:numId w:val="7"/>
        </w:numPr>
        <w:tabs>
          <w:tab w:val="left" w:pos="837"/>
        </w:tabs>
        <w:spacing w:before="27"/>
        <w:ind w:right="123"/>
        <w:rPr>
          <w:sz w:val="23"/>
        </w:rPr>
      </w:pPr>
      <w:r w:rsidRPr="00F11185">
        <w:rPr>
          <w:sz w:val="23"/>
        </w:rPr>
        <w:t xml:space="preserve">both counterparties are </w:t>
      </w:r>
      <w:r w:rsidR="00A12BA0" w:rsidRPr="00F11185">
        <w:rPr>
          <w:sz w:val="23"/>
        </w:rPr>
        <w:t xml:space="preserve">included </w:t>
      </w:r>
      <w:r w:rsidRPr="00F11185">
        <w:rPr>
          <w:sz w:val="23"/>
        </w:rPr>
        <w:t>in the same consolidation on a full basis (Article 3(3) EMIR)</w:t>
      </w:r>
      <w:r w:rsidR="00A12BA0" w:rsidRPr="00F11185">
        <w:rPr>
          <w:sz w:val="23"/>
        </w:rPr>
        <w:t>;</w:t>
      </w:r>
    </w:p>
    <w:p w14:paraId="20F721F6" w14:textId="5582891B" w:rsidR="00082911" w:rsidRPr="00F11185" w:rsidRDefault="0080336C">
      <w:pPr>
        <w:pStyle w:val="ListParagraph"/>
        <w:numPr>
          <w:ilvl w:val="1"/>
          <w:numId w:val="7"/>
        </w:numPr>
        <w:tabs>
          <w:tab w:val="left" w:pos="837"/>
        </w:tabs>
        <w:spacing w:before="28"/>
        <w:ind w:right="121"/>
        <w:rPr>
          <w:sz w:val="23"/>
        </w:rPr>
      </w:pPr>
      <w:r w:rsidRPr="00F11185">
        <w:rPr>
          <w:sz w:val="23"/>
        </w:rPr>
        <w:t>both counterparties are subject to appropriate centralised risk evaluation, measurement and control</w:t>
      </w:r>
      <w:r w:rsidR="00A12BA0" w:rsidRPr="00F11185">
        <w:rPr>
          <w:sz w:val="23"/>
        </w:rPr>
        <w:t xml:space="preserve"> procedures;</w:t>
      </w:r>
    </w:p>
    <w:p w14:paraId="43DE999B" w14:textId="2AC82CA4" w:rsidR="00082911" w:rsidRPr="00F11185" w:rsidRDefault="007E1A28">
      <w:pPr>
        <w:pStyle w:val="ListParagraph"/>
        <w:numPr>
          <w:ilvl w:val="1"/>
          <w:numId w:val="7"/>
        </w:numPr>
        <w:tabs>
          <w:tab w:val="left" w:pos="837"/>
        </w:tabs>
        <w:spacing w:before="26"/>
        <w:ind w:right="118"/>
        <w:rPr>
          <w:sz w:val="23"/>
        </w:rPr>
      </w:pPr>
      <w:r w:rsidRPr="00F11185">
        <w:rPr>
          <w:sz w:val="23"/>
        </w:rPr>
        <w:t>a</w:t>
      </w:r>
      <w:r w:rsidR="00A12BA0" w:rsidRPr="00F11185">
        <w:rPr>
          <w:sz w:val="23"/>
        </w:rPr>
        <w:t xml:space="preserve"> </w:t>
      </w:r>
      <w:r w:rsidR="0080336C" w:rsidRPr="00F11185">
        <w:rPr>
          <w:sz w:val="23"/>
        </w:rPr>
        <w:t xml:space="preserve">counterparty is established in the EU or, if it is established in a third country, the Commission has adopted an implementing act under Article 13(2) </w:t>
      </w:r>
      <w:r w:rsidR="00A12BA0" w:rsidRPr="00F11185">
        <w:rPr>
          <w:sz w:val="23"/>
        </w:rPr>
        <w:t xml:space="preserve">of </w:t>
      </w:r>
      <w:r w:rsidR="0080336C" w:rsidRPr="00F11185">
        <w:rPr>
          <w:sz w:val="23"/>
        </w:rPr>
        <w:t>EMIR in respect of that third country.</w:t>
      </w:r>
    </w:p>
    <w:p w14:paraId="5C6564B2" w14:textId="77777777" w:rsidR="007E1A28" w:rsidRPr="00F11185" w:rsidRDefault="007E1A28" w:rsidP="007E1A28">
      <w:pPr>
        <w:tabs>
          <w:tab w:val="left" w:pos="837"/>
        </w:tabs>
        <w:spacing w:before="26"/>
        <w:ind w:right="118"/>
        <w:rPr>
          <w:sz w:val="23"/>
        </w:rPr>
      </w:pPr>
    </w:p>
    <w:p w14:paraId="1BA1544E" w14:textId="28A110EC" w:rsidR="00082911" w:rsidRPr="00F11185" w:rsidRDefault="0080336C">
      <w:pPr>
        <w:pStyle w:val="ListParagraph"/>
        <w:numPr>
          <w:ilvl w:val="0"/>
          <w:numId w:val="7"/>
        </w:numPr>
        <w:tabs>
          <w:tab w:val="left" w:pos="477"/>
        </w:tabs>
        <w:spacing w:before="76" w:line="242" w:lineRule="auto"/>
        <w:ind w:right="116"/>
        <w:rPr>
          <w:sz w:val="23"/>
        </w:rPr>
      </w:pPr>
      <w:r w:rsidRPr="00F11185">
        <w:rPr>
          <w:sz w:val="23"/>
        </w:rPr>
        <w:t>For the purposes of paragraph 2(a)</w:t>
      </w:r>
      <w:r w:rsidR="00A12BA0" w:rsidRPr="00F11185">
        <w:rPr>
          <w:sz w:val="23"/>
        </w:rPr>
        <w:t>, pursuant to</w:t>
      </w:r>
      <w:r w:rsidRPr="00F11185">
        <w:rPr>
          <w:sz w:val="23"/>
        </w:rPr>
        <w:t xml:space="preserve"> Article 3(3) </w:t>
      </w:r>
      <w:r w:rsidR="00A12BA0" w:rsidRPr="00F11185">
        <w:rPr>
          <w:sz w:val="23"/>
        </w:rPr>
        <w:t xml:space="preserve">of </w:t>
      </w:r>
      <w:r w:rsidRPr="00F11185">
        <w:rPr>
          <w:sz w:val="23"/>
        </w:rPr>
        <w:t>EMIR</w:t>
      </w:r>
      <w:r w:rsidR="00A12BA0" w:rsidRPr="00F11185">
        <w:rPr>
          <w:sz w:val="23"/>
        </w:rPr>
        <w:t>,</w:t>
      </w:r>
      <w:r w:rsidRPr="00F11185">
        <w:rPr>
          <w:sz w:val="23"/>
        </w:rPr>
        <w:t xml:space="preserve"> counterparties </w:t>
      </w:r>
      <w:r w:rsidR="000C601A" w:rsidRPr="00F11185">
        <w:rPr>
          <w:sz w:val="23"/>
        </w:rPr>
        <w:t>are</w:t>
      </w:r>
      <w:r w:rsidRPr="00F11185">
        <w:rPr>
          <w:sz w:val="23"/>
        </w:rPr>
        <w:t xml:space="preserve"> considered to be included in the same consolidation </w:t>
      </w:r>
      <w:r w:rsidR="00A12BA0" w:rsidRPr="00F11185">
        <w:rPr>
          <w:sz w:val="23"/>
        </w:rPr>
        <w:t xml:space="preserve">when </w:t>
      </w:r>
      <w:r w:rsidRPr="00F11185">
        <w:rPr>
          <w:sz w:val="23"/>
        </w:rPr>
        <w:t>they are both either:</w:t>
      </w:r>
    </w:p>
    <w:p w14:paraId="172BF0A8" w14:textId="77777777" w:rsidR="00082911" w:rsidRPr="00F11185" w:rsidRDefault="0080336C">
      <w:pPr>
        <w:pStyle w:val="ListParagraph"/>
        <w:numPr>
          <w:ilvl w:val="1"/>
          <w:numId w:val="7"/>
        </w:numPr>
        <w:tabs>
          <w:tab w:val="left" w:pos="837"/>
        </w:tabs>
        <w:spacing w:before="23"/>
        <w:ind w:right="115"/>
        <w:rPr>
          <w:sz w:val="23"/>
        </w:rPr>
      </w:pPr>
      <w:r w:rsidRPr="00F11185">
        <w:rPr>
          <w:sz w:val="23"/>
        </w:rPr>
        <w:t xml:space="preserve">included in a consolidation in accordance with Directive 83/349/EEC or International Financial Reporting Standards (IFRS) adopted pursuant to Regulation (EC) No 1606/2002 or, in relation to a group the parent undertaking of which has its head office in a third country, in accordance with generally accepted accounting principles of a third country determined to be equivalent to </w:t>
      </w:r>
      <w:r w:rsidRPr="00F11185">
        <w:rPr>
          <w:sz w:val="23"/>
        </w:rPr>
        <w:lastRenderedPageBreak/>
        <w:t>IFRS in accordance with Regulation (EC) No 1569/2007 (or accounting standards of a third country the use of which is permitted in accordance with Article 4 of that Regulation); or</w:t>
      </w:r>
    </w:p>
    <w:p w14:paraId="0BBC18FA" w14:textId="168F3607" w:rsidR="00082911" w:rsidRPr="00F11185" w:rsidRDefault="0080336C">
      <w:pPr>
        <w:pStyle w:val="ListParagraph"/>
        <w:numPr>
          <w:ilvl w:val="1"/>
          <w:numId w:val="7"/>
        </w:numPr>
        <w:tabs>
          <w:tab w:val="left" w:pos="837"/>
        </w:tabs>
        <w:spacing w:before="28"/>
        <w:ind w:right="120"/>
        <w:rPr>
          <w:sz w:val="23"/>
        </w:rPr>
      </w:pPr>
      <w:r w:rsidRPr="00F11185">
        <w:rPr>
          <w:sz w:val="23"/>
        </w:rPr>
        <w:t>covered by the same consolidated supervision in accordance with Directive 2006/48/EC or Directive 2006/49/EC or, in relation to a group the parent undertaking of which has its head office in a third country, the same consolidated supervision by a third-country competent authority verified as equivalent to that governed by the principles laid down in Article 143 of Directive 2006/48/EC or in Article 2 of Directive 2006/49/EC.</w:t>
      </w:r>
    </w:p>
    <w:p w14:paraId="4A16EE49" w14:textId="77777777" w:rsidR="00082911" w:rsidRPr="00F11185" w:rsidRDefault="00082911">
      <w:pPr>
        <w:pStyle w:val="BodyText"/>
        <w:spacing w:before="11"/>
        <w:rPr>
          <w:sz w:val="22"/>
        </w:rPr>
      </w:pPr>
    </w:p>
    <w:p w14:paraId="6CC03A96" w14:textId="770F3923" w:rsidR="00082911" w:rsidRPr="00F11185" w:rsidRDefault="0080336C">
      <w:pPr>
        <w:pStyle w:val="ListParagraph"/>
        <w:numPr>
          <w:ilvl w:val="0"/>
          <w:numId w:val="7"/>
        </w:numPr>
        <w:tabs>
          <w:tab w:val="left" w:pos="477"/>
        </w:tabs>
        <w:ind w:right="119"/>
        <w:rPr>
          <w:sz w:val="23"/>
        </w:rPr>
      </w:pPr>
      <w:r w:rsidRPr="00F11185">
        <w:rPr>
          <w:sz w:val="23"/>
        </w:rPr>
        <w:t xml:space="preserve">The applicant counterparty </w:t>
      </w:r>
      <w:r w:rsidR="00335B34" w:rsidRPr="00F11185">
        <w:rPr>
          <w:sz w:val="23"/>
        </w:rPr>
        <w:t>must</w:t>
      </w:r>
      <w:r w:rsidRPr="00F11185">
        <w:rPr>
          <w:sz w:val="23"/>
        </w:rPr>
        <w:t xml:space="preserve"> prove to Národná banka Slovenska (NBS) </w:t>
      </w:r>
      <w:r w:rsidR="00A12BA0" w:rsidRPr="00F11185">
        <w:rPr>
          <w:sz w:val="23"/>
        </w:rPr>
        <w:t xml:space="preserve">its </w:t>
      </w:r>
      <w:r w:rsidRPr="00F11185">
        <w:rPr>
          <w:sz w:val="23"/>
        </w:rPr>
        <w:t xml:space="preserve">compliance with the condition of being subject to </w:t>
      </w:r>
      <w:r w:rsidRPr="00F11185">
        <w:rPr>
          <w:b/>
          <w:bCs/>
          <w:sz w:val="23"/>
        </w:rPr>
        <w:t>appropriate centralised risk evaluation, measurement and control procedures</w:t>
      </w:r>
      <w:r w:rsidRPr="00F11185">
        <w:rPr>
          <w:sz w:val="23"/>
        </w:rPr>
        <w:t xml:space="preserve"> pursuant to paragraph 2(b) at least</w:t>
      </w:r>
      <w:r w:rsidR="00A12BA0" w:rsidRPr="00F11185">
        <w:rPr>
          <w:sz w:val="23"/>
        </w:rPr>
        <w:t xml:space="preserve"> </w:t>
      </w:r>
      <w:r w:rsidR="00335B34" w:rsidRPr="00F11185">
        <w:rPr>
          <w:sz w:val="23"/>
        </w:rPr>
        <w:t>to the following extent</w:t>
      </w:r>
      <w:r w:rsidRPr="00F11185">
        <w:rPr>
          <w:sz w:val="23"/>
        </w:rPr>
        <w:t>:</w:t>
      </w:r>
    </w:p>
    <w:p w14:paraId="2594850E" w14:textId="6AA1B091" w:rsidR="00082911" w:rsidRPr="00F11185" w:rsidRDefault="0080336C">
      <w:pPr>
        <w:pStyle w:val="ListParagraph"/>
        <w:numPr>
          <w:ilvl w:val="1"/>
          <w:numId w:val="7"/>
        </w:numPr>
        <w:tabs>
          <w:tab w:val="left" w:pos="837"/>
        </w:tabs>
        <w:spacing w:before="28"/>
        <w:ind w:right="125"/>
        <w:rPr>
          <w:sz w:val="23"/>
        </w:rPr>
      </w:pPr>
      <w:r w:rsidRPr="00F11185">
        <w:rPr>
          <w:sz w:val="23"/>
        </w:rPr>
        <w:t>by describing the risk management and risk control policies</w:t>
      </w:r>
      <w:r w:rsidR="00A12BA0" w:rsidRPr="00F11185">
        <w:rPr>
          <w:sz w:val="23"/>
        </w:rPr>
        <w:t>,</w:t>
      </w:r>
      <w:r w:rsidRPr="00F11185">
        <w:rPr>
          <w:sz w:val="23"/>
        </w:rPr>
        <w:t xml:space="preserve"> including how th</w:t>
      </w:r>
      <w:r w:rsidR="00A12BA0" w:rsidRPr="00F11185">
        <w:rPr>
          <w:sz w:val="23"/>
        </w:rPr>
        <w:t>e</w:t>
      </w:r>
      <w:r w:rsidRPr="00F11185">
        <w:rPr>
          <w:sz w:val="23"/>
        </w:rPr>
        <w:t>se policies are centrally defined and applied;</w:t>
      </w:r>
    </w:p>
    <w:p w14:paraId="4DC1279A" w14:textId="1E0FFD96" w:rsidR="00082911" w:rsidRPr="00F11185" w:rsidRDefault="0080336C">
      <w:pPr>
        <w:pStyle w:val="ListParagraph"/>
        <w:numPr>
          <w:ilvl w:val="1"/>
          <w:numId w:val="7"/>
        </w:numPr>
        <w:tabs>
          <w:tab w:val="left" w:pos="837"/>
        </w:tabs>
        <w:spacing w:before="27"/>
        <w:ind w:right="120"/>
        <w:rPr>
          <w:sz w:val="23"/>
        </w:rPr>
      </w:pPr>
      <w:r w:rsidRPr="00F11185">
        <w:rPr>
          <w:sz w:val="23"/>
        </w:rPr>
        <w:t xml:space="preserve">by demonstrating that senior management is responsible for risk management and </w:t>
      </w:r>
      <w:r w:rsidR="00BF361B" w:rsidRPr="00F11185">
        <w:rPr>
          <w:sz w:val="23"/>
        </w:rPr>
        <w:t xml:space="preserve">that </w:t>
      </w:r>
      <w:r w:rsidRPr="00F11185">
        <w:rPr>
          <w:sz w:val="23"/>
        </w:rPr>
        <w:t xml:space="preserve">risk measurement is </w:t>
      </w:r>
      <w:r w:rsidR="00F13B23" w:rsidRPr="00F11185">
        <w:rPr>
          <w:sz w:val="23"/>
        </w:rPr>
        <w:t xml:space="preserve">being </w:t>
      </w:r>
      <w:r w:rsidRPr="00F11185">
        <w:rPr>
          <w:sz w:val="23"/>
        </w:rPr>
        <w:t>periodically reviewed (</w:t>
      </w:r>
      <w:r w:rsidR="004C00C3" w:rsidRPr="00F11185">
        <w:rPr>
          <w:sz w:val="23"/>
        </w:rPr>
        <w:t xml:space="preserve">stating also </w:t>
      </w:r>
      <w:r w:rsidRPr="00F11185">
        <w:rPr>
          <w:sz w:val="23"/>
        </w:rPr>
        <w:t xml:space="preserve">the </w:t>
      </w:r>
      <w:r w:rsidR="004C00C3" w:rsidRPr="00F11185">
        <w:rPr>
          <w:sz w:val="23"/>
        </w:rPr>
        <w:t xml:space="preserve">interval between </w:t>
      </w:r>
      <w:r w:rsidR="00BF361B" w:rsidRPr="00F11185">
        <w:rPr>
          <w:sz w:val="23"/>
        </w:rPr>
        <w:t xml:space="preserve">periodic </w:t>
      </w:r>
      <w:r w:rsidRPr="00F11185">
        <w:rPr>
          <w:sz w:val="23"/>
        </w:rPr>
        <w:t>review</w:t>
      </w:r>
      <w:r w:rsidR="004C00C3" w:rsidRPr="00F11185">
        <w:rPr>
          <w:sz w:val="23"/>
        </w:rPr>
        <w:t>s</w:t>
      </w:r>
      <w:r w:rsidRPr="00F11185">
        <w:rPr>
          <w:sz w:val="23"/>
        </w:rPr>
        <w:t>)</w:t>
      </w:r>
      <w:r w:rsidR="00BF361B" w:rsidRPr="00F11185">
        <w:rPr>
          <w:sz w:val="23"/>
        </w:rPr>
        <w:t>;</w:t>
      </w:r>
    </w:p>
    <w:p w14:paraId="06191DA9" w14:textId="1A7444D9" w:rsidR="00082911" w:rsidRPr="00F11185" w:rsidRDefault="0080336C">
      <w:pPr>
        <w:pStyle w:val="ListParagraph"/>
        <w:numPr>
          <w:ilvl w:val="1"/>
          <w:numId w:val="7"/>
        </w:numPr>
        <w:tabs>
          <w:tab w:val="left" w:pos="837"/>
        </w:tabs>
        <w:spacing w:before="26"/>
        <w:ind w:right="119"/>
        <w:rPr>
          <w:sz w:val="23"/>
        </w:rPr>
      </w:pPr>
      <w:r w:rsidRPr="00F11185">
        <w:rPr>
          <w:sz w:val="23"/>
        </w:rPr>
        <w:t xml:space="preserve">by demonstrating that </w:t>
      </w:r>
      <w:r w:rsidR="004C00C3" w:rsidRPr="00F11185">
        <w:rPr>
          <w:sz w:val="23"/>
        </w:rPr>
        <w:t xml:space="preserve">its organisation has in place </w:t>
      </w:r>
      <w:r w:rsidRPr="00F11185">
        <w:rPr>
          <w:sz w:val="23"/>
        </w:rPr>
        <w:t>regular and transparent communication mechanisms</w:t>
      </w:r>
      <w:r w:rsidR="004C00C3" w:rsidRPr="00F11185">
        <w:rPr>
          <w:sz w:val="23"/>
        </w:rPr>
        <w:t>,</w:t>
      </w:r>
      <w:r w:rsidRPr="00F11185">
        <w:rPr>
          <w:sz w:val="23"/>
        </w:rPr>
        <w:t xml:space="preserve"> s</w:t>
      </w:r>
      <w:r w:rsidR="004C00C3" w:rsidRPr="00F11185">
        <w:rPr>
          <w:sz w:val="23"/>
        </w:rPr>
        <w:t>uch</w:t>
      </w:r>
      <w:r w:rsidRPr="00F11185">
        <w:rPr>
          <w:sz w:val="23"/>
        </w:rPr>
        <w:t xml:space="preserve"> that the </w:t>
      </w:r>
      <w:r w:rsidR="004C00C3" w:rsidRPr="00F11185">
        <w:rPr>
          <w:sz w:val="23"/>
        </w:rPr>
        <w:t xml:space="preserve">management </w:t>
      </w:r>
      <w:r w:rsidRPr="00F11185">
        <w:rPr>
          <w:sz w:val="23"/>
        </w:rPr>
        <w:t xml:space="preserve">board, senior management, relevant business </w:t>
      </w:r>
      <w:r w:rsidR="00BF361B" w:rsidRPr="00F11185">
        <w:rPr>
          <w:sz w:val="23"/>
        </w:rPr>
        <w:t>line</w:t>
      </w:r>
      <w:r w:rsidRPr="00F11185">
        <w:rPr>
          <w:sz w:val="23"/>
        </w:rPr>
        <w:t>, risk management function</w:t>
      </w:r>
      <w:r w:rsidR="00BF361B" w:rsidRPr="00F11185">
        <w:rPr>
          <w:sz w:val="23"/>
        </w:rPr>
        <w:t>,</w:t>
      </w:r>
      <w:r w:rsidRPr="00F11185">
        <w:rPr>
          <w:sz w:val="23"/>
        </w:rPr>
        <w:t xml:space="preserve"> and other control functions c</w:t>
      </w:r>
      <w:r w:rsidR="004C00C3" w:rsidRPr="00F11185">
        <w:rPr>
          <w:sz w:val="23"/>
        </w:rPr>
        <w:t>an</w:t>
      </w:r>
      <w:r w:rsidRPr="00F11185">
        <w:rPr>
          <w:sz w:val="23"/>
        </w:rPr>
        <w:t xml:space="preserve"> share information on </w:t>
      </w:r>
      <w:r w:rsidR="004C00C3" w:rsidRPr="00F11185">
        <w:rPr>
          <w:sz w:val="23"/>
        </w:rPr>
        <w:t>the</w:t>
      </w:r>
      <w:r w:rsidRPr="00F11185">
        <w:rPr>
          <w:sz w:val="23"/>
        </w:rPr>
        <w:t xml:space="preserve"> measurement, analysis and monitoring</w:t>
      </w:r>
      <w:r w:rsidR="000B1C88" w:rsidRPr="00F11185">
        <w:rPr>
          <w:sz w:val="23"/>
        </w:rPr>
        <w:t xml:space="preserve"> of risks</w:t>
      </w:r>
      <w:r w:rsidRPr="00F11185">
        <w:rPr>
          <w:sz w:val="23"/>
        </w:rPr>
        <w:t>;</w:t>
      </w:r>
    </w:p>
    <w:p w14:paraId="0C93804A" w14:textId="67F05AC1" w:rsidR="00082911" w:rsidRPr="00F11185" w:rsidRDefault="0080336C">
      <w:pPr>
        <w:pStyle w:val="ListParagraph"/>
        <w:numPr>
          <w:ilvl w:val="1"/>
          <w:numId w:val="7"/>
        </w:numPr>
        <w:tabs>
          <w:tab w:val="left" w:pos="837"/>
        </w:tabs>
        <w:spacing w:before="27"/>
        <w:ind w:right="115"/>
        <w:rPr>
          <w:sz w:val="23"/>
        </w:rPr>
      </w:pPr>
      <w:r w:rsidRPr="00F11185">
        <w:rPr>
          <w:sz w:val="23"/>
        </w:rPr>
        <w:t xml:space="preserve">by demonstrating that internal procedures and information systems are consistent throughout the institution and </w:t>
      </w:r>
      <w:r w:rsidR="00BF361B" w:rsidRPr="00F11185">
        <w:rPr>
          <w:sz w:val="23"/>
        </w:rPr>
        <w:t xml:space="preserve">are </w:t>
      </w:r>
      <w:r w:rsidRPr="00F11185">
        <w:rPr>
          <w:sz w:val="23"/>
        </w:rPr>
        <w:t>sufficiently reliable</w:t>
      </w:r>
      <w:r w:rsidR="000B1C88" w:rsidRPr="00F11185">
        <w:rPr>
          <w:sz w:val="23"/>
        </w:rPr>
        <w:t xml:space="preserve">, thereby </w:t>
      </w:r>
      <w:r w:rsidRPr="00F11185">
        <w:rPr>
          <w:sz w:val="23"/>
        </w:rPr>
        <w:t>enabl</w:t>
      </w:r>
      <w:r w:rsidR="000B1C88" w:rsidRPr="00F11185">
        <w:rPr>
          <w:sz w:val="23"/>
        </w:rPr>
        <w:t>ing</w:t>
      </w:r>
      <w:r w:rsidRPr="00F11185">
        <w:rPr>
          <w:sz w:val="23"/>
        </w:rPr>
        <w:t xml:space="preserve"> all sources of relevant risks to be identified, measured and monitored on an aggregated basis and to the extent necessary for the entity, business line</w:t>
      </w:r>
      <w:r w:rsidR="00BF361B" w:rsidRPr="00F11185">
        <w:rPr>
          <w:sz w:val="23"/>
        </w:rPr>
        <w:t>,</w:t>
      </w:r>
      <w:r w:rsidRPr="00F11185">
        <w:rPr>
          <w:sz w:val="23"/>
        </w:rPr>
        <w:t xml:space="preserve"> and portfolio; and</w:t>
      </w:r>
    </w:p>
    <w:p w14:paraId="11AD4A96" w14:textId="63FD9832" w:rsidR="00082911" w:rsidRPr="00F11185" w:rsidRDefault="0080336C">
      <w:pPr>
        <w:pStyle w:val="ListParagraph"/>
        <w:numPr>
          <w:ilvl w:val="1"/>
          <w:numId w:val="7"/>
        </w:numPr>
        <w:tabs>
          <w:tab w:val="left" w:pos="837"/>
        </w:tabs>
        <w:spacing w:before="27"/>
        <w:ind w:right="119"/>
        <w:rPr>
          <w:sz w:val="23"/>
        </w:rPr>
      </w:pPr>
      <w:r w:rsidRPr="00F11185">
        <w:rPr>
          <w:sz w:val="23"/>
        </w:rPr>
        <w:t xml:space="preserve">by demonstrating that key risk information is regularly reported to the central risk management function in order to allow </w:t>
      </w:r>
      <w:r w:rsidR="00A11772" w:rsidRPr="00F11185">
        <w:rPr>
          <w:sz w:val="23"/>
        </w:rPr>
        <w:t>appropriate</w:t>
      </w:r>
      <w:r w:rsidRPr="00F11185">
        <w:rPr>
          <w:sz w:val="23"/>
        </w:rPr>
        <w:t xml:space="preserve"> centrali</w:t>
      </w:r>
      <w:r w:rsidR="00BF361B" w:rsidRPr="00F11185">
        <w:rPr>
          <w:sz w:val="23"/>
        </w:rPr>
        <w:t>s</w:t>
      </w:r>
      <w:r w:rsidRPr="00F11185">
        <w:rPr>
          <w:sz w:val="23"/>
        </w:rPr>
        <w:t xml:space="preserve">ed </w:t>
      </w:r>
      <w:r w:rsidR="00A11772" w:rsidRPr="00F11185">
        <w:rPr>
          <w:sz w:val="23"/>
        </w:rPr>
        <w:t xml:space="preserve">risk </w:t>
      </w:r>
      <w:r w:rsidR="00BF361B" w:rsidRPr="00F11185">
        <w:rPr>
          <w:sz w:val="23"/>
        </w:rPr>
        <w:t>evaluation</w:t>
      </w:r>
      <w:r w:rsidRPr="00F11185">
        <w:rPr>
          <w:sz w:val="23"/>
        </w:rPr>
        <w:t xml:space="preserve">, measurement and control </w:t>
      </w:r>
      <w:r w:rsidR="00A11772" w:rsidRPr="00F11185">
        <w:rPr>
          <w:sz w:val="23"/>
        </w:rPr>
        <w:t xml:space="preserve">procedures </w:t>
      </w:r>
      <w:r w:rsidRPr="00F11185">
        <w:rPr>
          <w:sz w:val="23"/>
        </w:rPr>
        <w:t>across relevant entities within the group.</w:t>
      </w:r>
    </w:p>
    <w:p w14:paraId="40131CB5" w14:textId="77777777" w:rsidR="00082911" w:rsidRPr="00F11185" w:rsidRDefault="00082911">
      <w:pPr>
        <w:pStyle w:val="BodyText"/>
      </w:pPr>
    </w:p>
    <w:p w14:paraId="384118C8" w14:textId="4D45849D" w:rsidR="00082911" w:rsidRPr="00F11185" w:rsidRDefault="0080336C">
      <w:pPr>
        <w:pStyle w:val="ListParagraph"/>
        <w:numPr>
          <w:ilvl w:val="0"/>
          <w:numId w:val="7"/>
        </w:numPr>
        <w:tabs>
          <w:tab w:val="left" w:pos="477"/>
        </w:tabs>
        <w:ind w:right="112"/>
        <w:rPr>
          <w:sz w:val="23"/>
        </w:rPr>
      </w:pPr>
      <w:r w:rsidRPr="00F11185">
        <w:rPr>
          <w:sz w:val="23"/>
        </w:rPr>
        <w:t xml:space="preserve">If the notification of the intention to apply </w:t>
      </w:r>
      <w:r w:rsidR="00E92977" w:rsidRPr="00F11185">
        <w:rPr>
          <w:sz w:val="23"/>
        </w:rPr>
        <w:t xml:space="preserve">the </w:t>
      </w:r>
      <w:r w:rsidRPr="00F11185">
        <w:rPr>
          <w:sz w:val="23"/>
        </w:rPr>
        <w:t xml:space="preserve">reporting obligation </w:t>
      </w:r>
      <w:r w:rsidR="000B1C88" w:rsidRPr="00F11185">
        <w:rPr>
          <w:sz w:val="23"/>
        </w:rPr>
        <w:t xml:space="preserve">exemption </w:t>
      </w:r>
      <w:r w:rsidR="00DC6D38" w:rsidRPr="00F11185">
        <w:rPr>
          <w:sz w:val="23"/>
        </w:rPr>
        <w:t>under</w:t>
      </w:r>
      <w:r w:rsidRPr="00F11185">
        <w:rPr>
          <w:sz w:val="23"/>
        </w:rPr>
        <w:t xml:space="preserve"> Article </w:t>
      </w:r>
      <w:r w:rsidR="0038765F" w:rsidRPr="00F11185">
        <w:rPr>
          <w:sz w:val="23"/>
        </w:rPr>
        <w:t>9</w:t>
      </w:r>
      <w:r w:rsidRPr="00F11185">
        <w:rPr>
          <w:sz w:val="23"/>
        </w:rPr>
        <w:t>(</w:t>
      </w:r>
      <w:r w:rsidR="0038765F" w:rsidRPr="00F11185">
        <w:rPr>
          <w:sz w:val="23"/>
        </w:rPr>
        <w:t>1</w:t>
      </w:r>
      <w:r w:rsidRPr="00F11185">
        <w:rPr>
          <w:sz w:val="23"/>
        </w:rPr>
        <w:t>) of EMIR</w:t>
      </w:r>
      <w:r w:rsidR="0038765F" w:rsidRPr="00F11185">
        <w:rPr>
          <w:sz w:val="23"/>
        </w:rPr>
        <w:t>,</w:t>
      </w:r>
      <w:r w:rsidRPr="00F11185">
        <w:rPr>
          <w:sz w:val="23"/>
        </w:rPr>
        <w:t xml:space="preserve"> </w:t>
      </w:r>
      <w:r w:rsidR="0038765F" w:rsidRPr="00F11185">
        <w:rPr>
          <w:sz w:val="23"/>
        </w:rPr>
        <w:t xml:space="preserve">as amended by </w:t>
      </w:r>
      <w:r w:rsidRPr="00F11185">
        <w:rPr>
          <w:sz w:val="23"/>
        </w:rPr>
        <w:t>EMIR</w:t>
      </w:r>
      <w:r w:rsidR="0038765F" w:rsidRPr="00F11185">
        <w:rPr>
          <w:sz w:val="23"/>
        </w:rPr>
        <w:t xml:space="preserve"> Refit, </w:t>
      </w:r>
      <w:r w:rsidR="00DC6D38" w:rsidRPr="00F11185">
        <w:rPr>
          <w:sz w:val="23"/>
        </w:rPr>
        <w:t>concerns</w:t>
      </w:r>
      <w:r w:rsidRPr="00F11185">
        <w:rPr>
          <w:sz w:val="23"/>
        </w:rPr>
        <w:t xml:space="preserve"> transactions between counterparties established in different Member States (</w:t>
      </w:r>
      <w:r w:rsidR="000B1C88" w:rsidRPr="00F11185">
        <w:rPr>
          <w:sz w:val="23"/>
        </w:rPr>
        <w:t>E</w:t>
      </w:r>
      <w:r w:rsidRPr="00F11185">
        <w:rPr>
          <w:sz w:val="23"/>
        </w:rPr>
        <w:t>xample 2 below</w:t>
      </w:r>
      <w:r w:rsidR="00DC6D38" w:rsidRPr="00F11185">
        <w:rPr>
          <w:sz w:val="23"/>
        </w:rPr>
        <w:t xml:space="preserve">), </w:t>
      </w:r>
      <w:r w:rsidRPr="00F11185">
        <w:rPr>
          <w:sz w:val="23"/>
        </w:rPr>
        <w:t>NBS assumes that both counterparties</w:t>
      </w:r>
      <w:r w:rsidR="00DC6D38" w:rsidRPr="00F11185">
        <w:rPr>
          <w:sz w:val="23"/>
        </w:rPr>
        <w:t xml:space="preserve"> will </w:t>
      </w:r>
      <w:r w:rsidR="000B1C88" w:rsidRPr="00F11185">
        <w:rPr>
          <w:sz w:val="23"/>
        </w:rPr>
        <w:t>send</w:t>
      </w:r>
      <w:r w:rsidR="00DC6D38" w:rsidRPr="00F11185">
        <w:rPr>
          <w:sz w:val="23"/>
        </w:rPr>
        <w:t xml:space="preserve"> their respective competent authorities</w:t>
      </w:r>
      <w:r w:rsidRPr="00F11185">
        <w:rPr>
          <w:sz w:val="23"/>
        </w:rPr>
        <w:t xml:space="preserve"> (</w:t>
      </w:r>
      <w:r w:rsidR="00664859" w:rsidRPr="00F11185">
        <w:rPr>
          <w:sz w:val="23"/>
        </w:rPr>
        <w:t xml:space="preserve">which </w:t>
      </w:r>
      <w:r w:rsidR="000B1C88" w:rsidRPr="00F11185">
        <w:rPr>
          <w:sz w:val="23"/>
        </w:rPr>
        <w:t xml:space="preserve">for </w:t>
      </w:r>
      <w:r w:rsidRPr="00F11185">
        <w:rPr>
          <w:sz w:val="23"/>
        </w:rPr>
        <w:t>a counterparty established in Slovak</w:t>
      </w:r>
      <w:r w:rsidR="000B1C88" w:rsidRPr="00F11185">
        <w:rPr>
          <w:sz w:val="23"/>
        </w:rPr>
        <w:t>ia</w:t>
      </w:r>
      <w:r w:rsidR="00664859" w:rsidRPr="00F11185">
        <w:rPr>
          <w:sz w:val="23"/>
        </w:rPr>
        <w:t xml:space="preserve"> is</w:t>
      </w:r>
      <w:r w:rsidRPr="00F11185">
        <w:rPr>
          <w:sz w:val="23"/>
        </w:rPr>
        <w:t xml:space="preserve"> NBS</w:t>
      </w:r>
      <w:r w:rsidR="000B1C88" w:rsidRPr="00F11185">
        <w:rPr>
          <w:sz w:val="23"/>
        </w:rPr>
        <w:t>;</w:t>
      </w:r>
      <w:r w:rsidRPr="00F11185">
        <w:rPr>
          <w:sz w:val="23"/>
        </w:rPr>
        <w:t xml:space="preserve"> </w:t>
      </w:r>
      <w:r w:rsidR="000B1C88" w:rsidRPr="00F11185">
        <w:rPr>
          <w:sz w:val="23"/>
        </w:rPr>
        <w:t xml:space="preserve">for </w:t>
      </w:r>
      <w:r w:rsidRPr="00F11185">
        <w:rPr>
          <w:sz w:val="23"/>
        </w:rPr>
        <w:t>a counterparty established in another Member State</w:t>
      </w:r>
      <w:r w:rsidR="000B1C88" w:rsidRPr="00F11185">
        <w:rPr>
          <w:sz w:val="23"/>
        </w:rPr>
        <w:t>,</w:t>
      </w:r>
      <w:r w:rsidRPr="00F11185">
        <w:rPr>
          <w:sz w:val="23"/>
        </w:rPr>
        <w:t xml:space="preserve"> the competent authority </w:t>
      </w:r>
      <w:r w:rsidR="00DC6D38" w:rsidRPr="00F11185">
        <w:rPr>
          <w:sz w:val="23"/>
        </w:rPr>
        <w:t xml:space="preserve">of </w:t>
      </w:r>
      <w:r w:rsidRPr="00F11185">
        <w:rPr>
          <w:sz w:val="23"/>
        </w:rPr>
        <w:t xml:space="preserve">that Member State) similar information </w:t>
      </w:r>
      <w:r w:rsidR="000B1C88" w:rsidRPr="00F11185">
        <w:rPr>
          <w:sz w:val="23"/>
        </w:rPr>
        <w:t xml:space="preserve">in order to </w:t>
      </w:r>
      <w:r w:rsidRPr="00F11185">
        <w:rPr>
          <w:sz w:val="23"/>
        </w:rPr>
        <w:t>prov</w:t>
      </w:r>
      <w:r w:rsidR="000B1C88" w:rsidRPr="00F11185">
        <w:rPr>
          <w:sz w:val="23"/>
        </w:rPr>
        <w:t>e</w:t>
      </w:r>
      <w:r w:rsidRPr="00F11185">
        <w:rPr>
          <w:sz w:val="23"/>
        </w:rPr>
        <w:t xml:space="preserve"> </w:t>
      </w:r>
      <w:r w:rsidR="000B1C88" w:rsidRPr="00F11185">
        <w:rPr>
          <w:sz w:val="23"/>
        </w:rPr>
        <w:t>compliance with</w:t>
      </w:r>
      <w:r w:rsidRPr="00F11185">
        <w:rPr>
          <w:sz w:val="23"/>
        </w:rPr>
        <w:t xml:space="preserve"> </w:t>
      </w:r>
      <w:r w:rsidR="000B1C88" w:rsidRPr="00F11185">
        <w:rPr>
          <w:sz w:val="23"/>
        </w:rPr>
        <w:t xml:space="preserve">the </w:t>
      </w:r>
      <w:r w:rsidRPr="00F11185">
        <w:rPr>
          <w:sz w:val="23"/>
        </w:rPr>
        <w:t>conditions for the application of th</w:t>
      </w:r>
      <w:r w:rsidR="00DC6D38" w:rsidRPr="00F11185">
        <w:rPr>
          <w:sz w:val="23"/>
        </w:rPr>
        <w:t>e</w:t>
      </w:r>
      <w:r w:rsidRPr="00F11185">
        <w:rPr>
          <w:sz w:val="23"/>
        </w:rPr>
        <w:t xml:space="preserve"> exemption.</w:t>
      </w:r>
    </w:p>
    <w:p w14:paraId="34608002" w14:textId="77777777" w:rsidR="00082911" w:rsidRPr="00F11185" w:rsidRDefault="00082911">
      <w:pPr>
        <w:pStyle w:val="BodyText"/>
        <w:spacing w:before="2"/>
      </w:pPr>
    </w:p>
    <w:p w14:paraId="751B8DE9" w14:textId="42EC691C" w:rsidR="00082911" w:rsidRPr="00F11185" w:rsidRDefault="0080336C">
      <w:pPr>
        <w:pStyle w:val="ListParagraph"/>
        <w:numPr>
          <w:ilvl w:val="0"/>
          <w:numId w:val="7"/>
        </w:numPr>
        <w:tabs>
          <w:tab w:val="left" w:pos="477"/>
        </w:tabs>
        <w:spacing w:before="1"/>
        <w:ind w:right="116"/>
        <w:rPr>
          <w:b/>
          <w:sz w:val="23"/>
        </w:rPr>
      </w:pPr>
      <w:r w:rsidRPr="00F11185">
        <w:rPr>
          <w:b/>
          <w:bCs/>
          <w:sz w:val="23"/>
        </w:rPr>
        <w:t xml:space="preserve">The application of the reporting obligation </w:t>
      </w:r>
      <w:r w:rsidR="000B1C88" w:rsidRPr="00F11185">
        <w:rPr>
          <w:b/>
          <w:bCs/>
          <w:sz w:val="23"/>
        </w:rPr>
        <w:t>exemption for</w:t>
      </w:r>
      <w:r w:rsidR="00DC6D38" w:rsidRPr="00F11185">
        <w:rPr>
          <w:b/>
          <w:bCs/>
          <w:sz w:val="23"/>
        </w:rPr>
        <w:t xml:space="preserve"> intragroup transactions</w:t>
      </w:r>
      <w:r w:rsidRPr="00F11185">
        <w:rPr>
          <w:sz w:val="23"/>
        </w:rPr>
        <w:t xml:space="preserve"> appl</w:t>
      </w:r>
      <w:r w:rsidR="000B1C88" w:rsidRPr="00F11185">
        <w:rPr>
          <w:sz w:val="23"/>
        </w:rPr>
        <w:t>ies</w:t>
      </w:r>
      <w:r w:rsidRPr="00F11185">
        <w:rPr>
          <w:sz w:val="23"/>
        </w:rPr>
        <w:t xml:space="preserve"> to transactions between two counterparties </w:t>
      </w:r>
      <w:r w:rsidR="00DC6D38" w:rsidRPr="00F11185">
        <w:rPr>
          <w:sz w:val="23"/>
        </w:rPr>
        <w:t xml:space="preserve">– </w:t>
      </w:r>
      <w:r w:rsidRPr="00F11185">
        <w:rPr>
          <w:sz w:val="23"/>
        </w:rPr>
        <w:t xml:space="preserve">the </w:t>
      </w:r>
      <w:r w:rsidR="000B1C88" w:rsidRPr="00F11185">
        <w:rPr>
          <w:sz w:val="23"/>
        </w:rPr>
        <w:t>‘</w:t>
      </w:r>
      <w:r w:rsidRPr="00F11185">
        <w:rPr>
          <w:sz w:val="23"/>
        </w:rPr>
        <w:t>applicant</w:t>
      </w:r>
      <w:r w:rsidR="000B1C88" w:rsidRPr="00F11185">
        <w:rPr>
          <w:sz w:val="23"/>
        </w:rPr>
        <w:t>’</w:t>
      </w:r>
      <w:r w:rsidRPr="00F11185">
        <w:rPr>
          <w:sz w:val="23"/>
        </w:rPr>
        <w:t xml:space="preserve"> counterparty</w:t>
      </w:r>
      <w:r w:rsidR="000B1C88" w:rsidRPr="00F11185">
        <w:rPr>
          <w:sz w:val="23"/>
        </w:rPr>
        <w:t xml:space="preserve"> </w:t>
      </w:r>
      <w:r w:rsidR="00664859" w:rsidRPr="00F11185">
        <w:rPr>
          <w:sz w:val="23"/>
        </w:rPr>
        <w:t xml:space="preserve">and </w:t>
      </w:r>
      <w:r w:rsidR="000B1C88" w:rsidRPr="00F11185">
        <w:rPr>
          <w:sz w:val="23"/>
        </w:rPr>
        <w:t>‘</w:t>
      </w:r>
      <w:r w:rsidRPr="00F11185">
        <w:rPr>
          <w:sz w:val="23"/>
        </w:rPr>
        <w:t>intragroup</w:t>
      </w:r>
      <w:r w:rsidR="000B1C88" w:rsidRPr="00F11185">
        <w:rPr>
          <w:sz w:val="23"/>
        </w:rPr>
        <w:t>’</w:t>
      </w:r>
      <w:r w:rsidRPr="00F11185">
        <w:rPr>
          <w:sz w:val="23"/>
        </w:rPr>
        <w:t xml:space="preserve"> counterparty. </w:t>
      </w:r>
      <w:r w:rsidRPr="00F11185">
        <w:rPr>
          <w:b/>
          <w:sz w:val="23"/>
        </w:rPr>
        <w:t xml:space="preserve">Each pair of counterparties within the group must </w:t>
      </w:r>
      <w:r w:rsidR="001B3967" w:rsidRPr="00F11185">
        <w:rPr>
          <w:b/>
          <w:sz w:val="23"/>
        </w:rPr>
        <w:t xml:space="preserve">also </w:t>
      </w:r>
      <w:r w:rsidRPr="00F11185">
        <w:rPr>
          <w:b/>
          <w:sz w:val="23"/>
        </w:rPr>
        <w:t>apply th</w:t>
      </w:r>
      <w:r w:rsidR="00DC6D38" w:rsidRPr="00F11185">
        <w:rPr>
          <w:b/>
          <w:sz w:val="23"/>
        </w:rPr>
        <w:t>e</w:t>
      </w:r>
      <w:r w:rsidRPr="00F11185">
        <w:rPr>
          <w:b/>
          <w:sz w:val="23"/>
        </w:rPr>
        <w:t xml:space="preserve"> </w:t>
      </w:r>
      <w:r w:rsidR="00DC6D38" w:rsidRPr="00F11185">
        <w:rPr>
          <w:b/>
          <w:sz w:val="23"/>
        </w:rPr>
        <w:t xml:space="preserve">exemption </w:t>
      </w:r>
      <w:r w:rsidR="001B3967" w:rsidRPr="00F11185">
        <w:rPr>
          <w:b/>
          <w:sz w:val="23"/>
        </w:rPr>
        <w:t xml:space="preserve">in accordance with </w:t>
      </w:r>
      <w:r w:rsidR="001B3967" w:rsidRPr="00F11185">
        <w:rPr>
          <w:b/>
          <w:bCs/>
        </w:rPr>
        <w:t xml:space="preserve">ESMA </w:t>
      </w:r>
      <w:hyperlink r:id="rId7" w:history="1">
        <w:r w:rsidR="001B3967" w:rsidRPr="00F11185">
          <w:rPr>
            <w:rStyle w:val="Hyperlink"/>
            <w:b/>
            <w:bCs/>
          </w:rPr>
          <w:t>Q&amp;A</w:t>
        </w:r>
      </w:hyperlink>
      <w:r w:rsidR="001B3967" w:rsidRPr="00F11185">
        <w:rPr>
          <w:b/>
          <w:bCs/>
        </w:rPr>
        <w:t xml:space="preserve"> </w:t>
      </w:r>
      <w:r w:rsidR="00672E1E" w:rsidRPr="00F11185">
        <w:rPr>
          <w:b/>
          <w:bCs/>
        </w:rPr>
        <w:t xml:space="preserve"> question 51 </w:t>
      </w:r>
      <w:r w:rsidR="001B3967" w:rsidRPr="00F11185">
        <w:rPr>
          <w:b/>
          <w:bCs/>
        </w:rPr>
        <w:t>as it stands</w:t>
      </w:r>
      <w:r w:rsidRPr="00F11185">
        <w:rPr>
          <w:b/>
          <w:sz w:val="23"/>
        </w:rPr>
        <w:t>.</w:t>
      </w:r>
    </w:p>
    <w:p w14:paraId="543C015F" w14:textId="77777777" w:rsidR="0059247A" w:rsidRPr="00F11185" w:rsidRDefault="0080336C" w:rsidP="0059247A">
      <w:pPr>
        <w:spacing w:before="229"/>
        <w:ind w:left="116" w:right="420"/>
        <w:rPr>
          <w:b/>
          <w:bCs/>
          <w:sz w:val="23"/>
        </w:rPr>
      </w:pPr>
      <w:r w:rsidRPr="00F11185">
        <w:rPr>
          <w:b/>
          <w:bCs/>
          <w:sz w:val="23"/>
        </w:rPr>
        <w:t xml:space="preserve">Examples of the application of the reporting obligation </w:t>
      </w:r>
      <w:r w:rsidR="00E32E9C" w:rsidRPr="00F11185">
        <w:rPr>
          <w:b/>
          <w:bCs/>
          <w:sz w:val="23"/>
        </w:rPr>
        <w:t>exemption for</w:t>
      </w:r>
      <w:r w:rsidRPr="00F11185">
        <w:rPr>
          <w:b/>
          <w:bCs/>
          <w:sz w:val="23"/>
        </w:rPr>
        <w:t xml:space="preserve"> </w:t>
      </w:r>
      <w:r w:rsidR="00DC6D38" w:rsidRPr="00F11185">
        <w:rPr>
          <w:b/>
          <w:bCs/>
          <w:sz w:val="23"/>
        </w:rPr>
        <w:t xml:space="preserve">intragroup </w:t>
      </w:r>
      <w:r w:rsidRPr="00F11185">
        <w:rPr>
          <w:b/>
          <w:bCs/>
          <w:sz w:val="23"/>
        </w:rPr>
        <w:t>transactions</w:t>
      </w:r>
    </w:p>
    <w:p w14:paraId="124B9199" w14:textId="1D0D6C03" w:rsidR="00082911" w:rsidRPr="00F11185" w:rsidRDefault="0080336C" w:rsidP="0059247A">
      <w:pPr>
        <w:spacing w:before="229"/>
        <w:ind w:left="116" w:right="420"/>
        <w:rPr>
          <w:sz w:val="23"/>
        </w:rPr>
      </w:pPr>
      <w:r w:rsidRPr="00F11185">
        <w:rPr>
          <w:sz w:val="23"/>
        </w:rPr>
        <w:t xml:space="preserve">Counterparties to derivative contracts </w:t>
      </w:r>
      <w:r w:rsidRPr="00F11185">
        <w:rPr>
          <w:b/>
          <w:bCs/>
          <w:sz w:val="23"/>
        </w:rPr>
        <w:t xml:space="preserve">may apply the reporting obligation </w:t>
      </w:r>
      <w:r w:rsidR="00E32E9C" w:rsidRPr="00F11185">
        <w:rPr>
          <w:b/>
          <w:bCs/>
          <w:sz w:val="23"/>
        </w:rPr>
        <w:t xml:space="preserve">exemption </w:t>
      </w:r>
      <w:r w:rsidRPr="00F11185">
        <w:rPr>
          <w:b/>
          <w:bCs/>
          <w:sz w:val="23"/>
        </w:rPr>
        <w:t xml:space="preserve">for </w:t>
      </w:r>
      <w:r w:rsidR="00DC6D38" w:rsidRPr="00F11185">
        <w:rPr>
          <w:b/>
          <w:bCs/>
          <w:sz w:val="23"/>
        </w:rPr>
        <w:t xml:space="preserve">intragroup </w:t>
      </w:r>
      <w:r w:rsidRPr="00F11185">
        <w:rPr>
          <w:b/>
          <w:bCs/>
          <w:sz w:val="23"/>
        </w:rPr>
        <w:t>transactions</w:t>
      </w:r>
      <w:r w:rsidRPr="00F11185">
        <w:rPr>
          <w:sz w:val="23"/>
        </w:rPr>
        <w:t xml:space="preserve"> </w:t>
      </w:r>
      <w:r w:rsidR="00E32E9C" w:rsidRPr="00F11185">
        <w:rPr>
          <w:sz w:val="23"/>
        </w:rPr>
        <w:t>in accordance with Examples</w:t>
      </w:r>
      <w:r w:rsidRPr="00F11185">
        <w:rPr>
          <w:sz w:val="23"/>
        </w:rPr>
        <w:t xml:space="preserve"> 1 to 3 below.</w:t>
      </w:r>
    </w:p>
    <w:p w14:paraId="781D4391" w14:textId="77777777" w:rsidR="00082911" w:rsidRPr="00F11185" w:rsidRDefault="00082911">
      <w:pPr>
        <w:rPr>
          <w:sz w:val="23"/>
        </w:rPr>
        <w:sectPr w:rsidR="00082911" w:rsidRPr="00F11185" w:rsidSect="007E1A28">
          <w:pgSz w:w="11910" w:h="16840"/>
          <w:pgMar w:top="1440" w:right="1080" w:bottom="1440" w:left="1080" w:header="708" w:footer="708" w:gutter="0"/>
          <w:cols w:space="708"/>
          <w:docGrid w:linePitch="299"/>
        </w:sectPr>
      </w:pPr>
    </w:p>
    <w:p w14:paraId="15B5F93B" w14:textId="1ACD237D" w:rsidR="00082911" w:rsidRPr="00F11185" w:rsidRDefault="0080336C">
      <w:pPr>
        <w:pStyle w:val="Heading2"/>
        <w:spacing w:before="76"/>
      </w:pPr>
      <w:r w:rsidRPr="00F11185">
        <w:rPr>
          <w:u w:val="thick"/>
        </w:rPr>
        <w:lastRenderedPageBreak/>
        <w:t>Example 1</w:t>
      </w:r>
      <w:r w:rsidRPr="00F11185">
        <w:t>: Both counterparties are established in Slovak</w:t>
      </w:r>
      <w:r w:rsidR="00E32E9C" w:rsidRPr="00F11185">
        <w:t>ia</w:t>
      </w:r>
      <w:r w:rsidR="008478AE" w:rsidRPr="00F11185">
        <w:t>.</w:t>
      </w:r>
    </w:p>
    <w:p w14:paraId="0127011D" w14:textId="77777777" w:rsidR="00082911" w:rsidRPr="00F11185" w:rsidRDefault="00082911">
      <w:pPr>
        <w:pStyle w:val="BodyText"/>
        <w:spacing w:before="3"/>
        <w:rPr>
          <w:b/>
          <w:sz w:val="15"/>
        </w:rPr>
      </w:pPr>
    </w:p>
    <w:p w14:paraId="50625D3F" w14:textId="5C5F3A44" w:rsidR="00082911" w:rsidRPr="00F11185" w:rsidRDefault="00E32E9C" w:rsidP="00B36B91">
      <w:pPr>
        <w:pStyle w:val="Default"/>
        <w:numPr>
          <w:ilvl w:val="0"/>
          <w:numId w:val="5"/>
        </w:numPr>
        <w:tabs>
          <w:tab w:val="left" w:pos="477"/>
        </w:tabs>
        <w:spacing w:before="91" w:after="240"/>
        <w:ind w:right="116"/>
        <w:jc w:val="both"/>
        <w:rPr>
          <w:sz w:val="23"/>
        </w:rPr>
      </w:pPr>
      <w:r w:rsidRPr="00F11185">
        <w:rPr>
          <w:b/>
          <w:bCs/>
          <w:sz w:val="23"/>
          <w:lang w:val="en-GB"/>
        </w:rPr>
        <w:t>Either each</w:t>
      </w:r>
      <w:r w:rsidR="0080336C" w:rsidRPr="00F11185">
        <w:rPr>
          <w:b/>
          <w:bCs/>
          <w:sz w:val="23"/>
          <w:lang w:val="en-GB"/>
        </w:rPr>
        <w:t xml:space="preserve"> counterpart</w:t>
      </w:r>
      <w:r w:rsidRPr="00F11185">
        <w:rPr>
          <w:b/>
          <w:bCs/>
          <w:sz w:val="23"/>
          <w:lang w:val="en-GB"/>
        </w:rPr>
        <w:t>y</w:t>
      </w:r>
      <w:r w:rsidR="0080336C" w:rsidRPr="00F11185">
        <w:rPr>
          <w:b/>
          <w:bCs/>
          <w:sz w:val="23"/>
          <w:lang w:val="en-GB"/>
        </w:rPr>
        <w:t xml:space="preserve"> </w:t>
      </w:r>
      <w:r w:rsidRPr="00F11185">
        <w:rPr>
          <w:b/>
          <w:bCs/>
          <w:sz w:val="23"/>
          <w:lang w:val="en-GB"/>
        </w:rPr>
        <w:t>separately</w:t>
      </w:r>
      <w:r w:rsidR="00DB56C7" w:rsidRPr="00F11185">
        <w:rPr>
          <w:b/>
          <w:bCs/>
          <w:sz w:val="23"/>
          <w:lang w:val="en-GB"/>
        </w:rPr>
        <w:t>,</w:t>
      </w:r>
      <w:r w:rsidR="0080336C" w:rsidRPr="00F11185">
        <w:rPr>
          <w:b/>
          <w:bCs/>
          <w:sz w:val="23"/>
          <w:lang w:val="en-GB"/>
        </w:rPr>
        <w:t xml:space="preserve"> or one counterparty on behalf of</w:t>
      </w:r>
      <w:r w:rsidR="00820510" w:rsidRPr="00F11185">
        <w:rPr>
          <w:b/>
          <w:bCs/>
          <w:sz w:val="23"/>
          <w:lang w:val="en-GB"/>
        </w:rPr>
        <w:t xml:space="preserve"> the other counterparty</w:t>
      </w:r>
      <w:r w:rsidR="0080336C" w:rsidRPr="00F11185">
        <w:rPr>
          <w:b/>
          <w:bCs/>
          <w:sz w:val="23"/>
          <w:lang w:val="en-GB"/>
        </w:rPr>
        <w:t xml:space="preserve"> (</w:t>
      </w:r>
      <w:proofErr w:type="gramStart"/>
      <w:r w:rsidR="0080336C" w:rsidRPr="00F11185">
        <w:rPr>
          <w:b/>
          <w:bCs/>
          <w:sz w:val="23"/>
          <w:lang w:val="en-GB"/>
        </w:rPr>
        <w:t>on the basis of</w:t>
      </w:r>
      <w:proofErr w:type="gramEnd"/>
      <w:r w:rsidR="0080336C" w:rsidRPr="00F11185">
        <w:rPr>
          <w:b/>
          <w:bCs/>
          <w:sz w:val="23"/>
          <w:lang w:val="en-GB"/>
        </w:rPr>
        <w:t xml:space="preserve"> a power of attorney),</w:t>
      </w:r>
      <w:r w:rsidR="00820510" w:rsidRPr="00F11185">
        <w:rPr>
          <w:b/>
          <w:bCs/>
          <w:sz w:val="23"/>
          <w:lang w:val="en-GB"/>
        </w:rPr>
        <w:t xml:space="preserve"> or a parent on behalf of all counterparties </w:t>
      </w:r>
      <w:r w:rsidR="00F11185" w:rsidRPr="00F11185">
        <w:rPr>
          <w:b/>
          <w:bCs/>
          <w:sz w:val="23"/>
          <w:lang w:val="en-GB"/>
        </w:rPr>
        <w:t>established in</w:t>
      </w:r>
      <w:r w:rsidR="00820510" w:rsidRPr="00F11185">
        <w:rPr>
          <w:b/>
          <w:bCs/>
          <w:sz w:val="23"/>
          <w:lang w:val="en-GB"/>
        </w:rPr>
        <w:t xml:space="preserve"> Slovakia </w:t>
      </w:r>
      <w:r w:rsidR="0080336C" w:rsidRPr="00F11185">
        <w:rPr>
          <w:b/>
          <w:bCs/>
          <w:sz w:val="23"/>
          <w:lang w:val="en-GB"/>
        </w:rPr>
        <w:t>may notify NBS in writing</w:t>
      </w:r>
      <w:r w:rsidR="0080336C" w:rsidRPr="00F11185">
        <w:rPr>
          <w:sz w:val="23"/>
          <w:lang w:val="en-GB"/>
        </w:rPr>
        <w:t xml:space="preserve"> that </w:t>
      </w:r>
      <w:r w:rsidR="00CF5EDA" w:rsidRPr="00F11185">
        <w:rPr>
          <w:sz w:val="23"/>
          <w:lang w:val="en-GB"/>
        </w:rPr>
        <w:t xml:space="preserve">they </w:t>
      </w:r>
      <w:r w:rsidR="00FE0582" w:rsidRPr="00F11185">
        <w:rPr>
          <w:sz w:val="23"/>
          <w:lang w:val="en-GB"/>
        </w:rPr>
        <w:t xml:space="preserve">intend </w:t>
      </w:r>
      <w:r w:rsidR="0080336C" w:rsidRPr="00F11185">
        <w:rPr>
          <w:sz w:val="23"/>
          <w:lang w:val="en-GB"/>
        </w:rPr>
        <w:t>to</w:t>
      </w:r>
      <w:r w:rsidR="00FE0582" w:rsidRPr="00F11185">
        <w:rPr>
          <w:sz w:val="23"/>
          <w:lang w:val="en-GB"/>
        </w:rPr>
        <w:t xml:space="preserve"> </w:t>
      </w:r>
      <w:r w:rsidR="00664859" w:rsidRPr="00F11185">
        <w:rPr>
          <w:sz w:val="23"/>
          <w:lang w:val="en-GB"/>
        </w:rPr>
        <w:t>apply</w:t>
      </w:r>
      <w:r w:rsidR="0080336C" w:rsidRPr="00F11185">
        <w:rPr>
          <w:sz w:val="23"/>
          <w:lang w:val="en-GB"/>
        </w:rPr>
        <w:t xml:space="preserve"> the reporting obligation </w:t>
      </w:r>
      <w:r w:rsidR="00664859" w:rsidRPr="00F11185">
        <w:rPr>
          <w:sz w:val="23"/>
          <w:lang w:val="en-GB"/>
        </w:rPr>
        <w:t xml:space="preserve">exemption </w:t>
      </w:r>
      <w:r w:rsidR="0080336C" w:rsidRPr="00F11185">
        <w:rPr>
          <w:sz w:val="23"/>
          <w:lang w:val="en-GB"/>
        </w:rPr>
        <w:t xml:space="preserve">for </w:t>
      </w:r>
      <w:r w:rsidR="00FE0582" w:rsidRPr="00F11185">
        <w:rPr>
          <w:sz w:val="23"/>
          <w:lang w:val="en-GB"/>
        </w:rPr>
        <w:t xml:space="preserve">intragroup </w:t>
      </w:r>
      <w:r w:rsidR="0080336C" w:rsidRPr="00F11185">
        <w:rPr>
          <w:sz w:val="23"/>
          <w:lang w:val="en-GB"/>
        </w:rPr>
        <w:t>derivative transactions.</w:t>
      </w:r>
      <w:r w:rsidR="00820510" w:rsidRPr="00F11185">
        <w:rPr>
          <w:sz w:val="23"/>
        </w:rPr>
        <w:t xml:space="preserve"> </w:t>
      </w:r>
    </w:p>
    <w:p w14:paraId="10838840" w14:textId="78D3819A" w:rsidR="00911B23" w:rsidRPr="006E3E9A" w:rsidRDefault="00911B23" w:rsidP="00B36B91">
      <w:pPr>
        <w:pStyle w:val="Default"/>
        <w:numPr>
          <w:ilvl w:val="0"/>
          <w:numId w:val="5"/>
        </w:numPr>
        <w:tabs>
          <w:tab w:val="left" w:pos="477"/>
        </w:tabs>
        <w:spacing w:before="91" w:after="240"/>
        <w:ind w:right="116"/>
        <w:jc w:val="both"/>
        <w:rPr>
          <w:sz w:val="23"/>
          <w:lang w:val="en-GB"/>
        </w:rPr>
      </w:pPr>
      <w:r w:rsidRPr="006E3E9A">
        <w:rPr>
          <w:lang w:val="en-GB"/>
        </w:rPr>
        <w:t xml:space="preserve">When notifying of their intention to apply the </w:t>
      </w:r>
      <w:r w:rsidR="00F44AF2" w:rsidRPr="006E3E9A">
        <w:rPr>
          <w:sz w:val="23"/>
          <w:lang w:val="en-GB"/>
        </w:rPr>
        <w:t>reporting obligation exemption for intragroup derivative transactions</w:t>
      </w:r>
      <w:r w:rsidR="00F44AF2" w:rsidRPr="006E3E9A">
        <w:rPr>
          <w:lang w:val="en-GB"/>
        </w:rPr>
        <w:t xml:space="preserve"> </w:t>
      </w:r>
      <w:r w:rsidRPr="006E3E9A">
        <w:rPr>
          <w:lang w:val="en-GB"/>
        </w:rPr>
        <w:t>in accordance with Article 9(1) EMIR, as amended by Regulation 2019/834, the notifying counterparty should state that it fulfils the conditions laid down in Article 9(1) EMIR, as amended by Regulation 2019/834.</w:t>
      </w:r>
    </w:p>
    <w:p w14:paraId="07B87FA1" w14:textId="0B622291" w:rsidR="00ED6833" w:rsidRPr="00F11185" w:rsidRDefault="00ED6833" w:rsidP="00B36B91">
      <w:pPr>
        <w:pStyle w:val="ListParagraph"/>
        <w:widowControl/>
        <w:numPr>
          <w:ilvl w:val="0"/>
          <w:numId w:val="5"/>
        </w:numPr>
        <w:shd w:val="clear" w:color="auto" w:fill="FFFFFF"/>
        <w:autoSpaceDE/>
        <w:autoSpaceDN/>
        <w:spacing w:after="240"/>
        <w:rPr>
          <w:sz w:val="24"/>
          <w:szCs w:val="24"/>
          <w:lang w:val="en" w:eastAsia="sk-SK"/>
        </w:rPr>
      </w:pPr>
      <w:r w:rsidRPr="00F11185">
        <w:rPr>
          <w:sz w:val="24"/>
          <w:szCs w:val="24"/>
          <w:lang w:val="en" w:eastAsia="sk-SK"/>
        </w:rPr>
        <w:t xml:space="preserve">In accordance with paragraph 1, the notifying counterparty shall demonstrate compliance with the above conditions for intragroup transactions by filling in the relevant fields </w:t>
      </w:r>
      <w:r w:rsidR="00F44AF2" w:rsidRPr="00F11185">
        <w:rPr>
          <w:sz w:val="23"/>
        </w:rPr>
        <w:t xml:space="preserve">in the template (Annex 1) </w:t>
      </w:r>
      <w:r w:rsidRPr="00F11185">
        <w:rPr>
          <w:sz w:val="24"/>
          <w:szCs w:val="24"/>
          <w:lang w:val="en" w:eastAsia="sk-SK"/>
        </w:rPr>
        <w:t xml:space="preserve">pursuant to this Guidance and, where appropriate, by providing the required information </w:t>
      </w:r>
      <w:r w:rsidR="00DB62B3" w:rsidRPr="00F11185">
        <w:rPr>
          <w:sz w:val="24"/>
          <w:szCs w:val="24"/>
          <w:lang w:val="en" w:eastAsia="sk-SK"/>
        </w:rPr>
        <w:t xml:space="preserve">in </w:t>
      </w:r>
      <w:r w:rsidR="00DB62B3" w:rsidRPr="00F11185">
        <w:rPr>
          <w:sz w:val="23"/>
        </w:rPr>
        <w:t>an annex to the template</w:t>
      </w:r>
      <w:r w:rsidR="00DB62B3" w:rsidRPr="00F11185">
        <w:rPr>
          <w:sz w:val="24"/>
          <w:szCs w:val="24"/>
          <w:lang w:val="en" w:eastAsia="sk-SK"/>
        </w:rPr>
        <w:t>.</w:t>
      </w:r>
    </w:p>
    <w:p w14:paraId="229D4C55" w14:textId="1D525473" w:rsidR="0086244C" w:rsidRPr="00F11185" w:rsidRDefault="00ED6833" w:rsidP="00B36B91">
      <w:pPr>
        <w:pStyle w:val="ListParagraph"/>
        <w:widowControl/>
        <w:numPr>
          <w:ilvl w:val="0"/>
          <w:numId w:val="5"/>
        </w:numPr>
        <w:shd w:val="clear" w:color="auto" w:fill="FFFFFF"/>
        <w:autoSpaceDE/>
        <w:autoSpaceDN/>
        <w:spacing w:after="240"/>
      </w:pPr>
      <w:r w:rsidRPr="00F11185">
        <w:rPr>
          <w:sz w:val="24"/>
          <w:szCs w:val="24"/>
          <w:lang w:val="en" w:eastAsia="sk-SK"/>
        </w:rPr>
        <w:t>NBS may ask for additional information and/or documents to assess the fulfilment of the conditions referred to in the third subparagraph of Article 9(1) of EMIR, as amended by Regulation 2019/834.</w:t>
      </w:r>
      <w:r w:rsidRPr="00F11185">
        <w:t xml:space="preserve"> </w:t>
      </w:r>
    </w:p>
    <w:p w14:paraId="6237D22E" w14:textId="11270FFE" w:rsidR="0086244C" w:rsidRPr="00F11185" w:rsidRDefault="0086244C" w:rsidP="00B36B91">
      <w:pPr>
        <w:pStyle w:val="ListParagraph"/>
        <w:widowControl/>
        <w:numPr>
          <w:ilvl w:val="0"/>
          <w:numId w:val="5"/>
        </w:numPr>
        <w:shd w:val="clear" w:color="auto" w:fill="FFFFFF"/>
        <w:autoSpaceDE/>
        <w:autoSpaceDN/>
        <w:spacing w:after="240"/>
        <w:rPr>
          <w:sz w:val="24"/>
          <w:szCs w:val="24"/>
        </w:rPr>
      </w:pPr>
      <w:r w:rsidRPr="00F11185">
        <w:rPr>
          <w:sz w:val="24"/>
          <w:szCs w:val="24"/>
        </w:rPr>
        <w:t>The exemption shall be valid from the date when NBS confirms to the counterparty(</w:t>
      </w:r>
      <w:proofErr w:type="spellStart"/>
      <w:r w:rsidRPr="00F11185">
        <w:rPr>
          <w:sz w:val="24"/>
          <w:szCs w:val="24"/>
        </w:rPr>
        <w:t>ies</w:t>
      </w:r>
      <w:proofErr w:type="spellEnd"/>
      <w:r w:rsidRPr="00F11185">
        <w:rPr>
          <w:sz w:val="24"/>
          <w:szCs w:val="24"/>
        </w:rPr>
        <w:t>) that the conditions to use the exemption are satisfied, or if no decision is notified by NBS, it will be valid from the end of the three-month non-objection period. If the conditions, referred to in the third sub-paragraph of Article 9(1) EMIR, as amended by Regulation 2019/834, change, the counterparties need to inform NBS. Without prejudice to the existing exemption, NBS can object to the use of the exemption due to the change in the conditions. From that point in time the exemption will not be valid.</w:t>
      </w:r>
    </w:p>
    <w:p w14:paraId="0F115A50" w14:textId="747897BC" w:rsidR="0086244C" w:rsidRPr="00F11185" w:rsidRDefault="0086244C" w:rsidP="00B36B91">
      <w:pPr>
        <w:pStyle w:val="ListParagraph"/>
        <w:widowControl/>
        <w:numPr>
          <w:ilvl w:val="0"/>
          <w:numId w:val="5"/>
        </w:numPr>
        <w:shd w:val="clear" w:color="auto" w:fill="FFFFFF"/>
        <w:autoSpaceDE/>
        <w:autoSpaceDN/>
        <w:spacing w:after="240"/>
        <w:rPr>
          <w:sz w:val="24"/>
          <w:szCs w:val="24"/>
        </w:rPr>
      </w:pPr>
      <w:r w:rsidRPr="00F11185">
        <w:rPr>
          <w:sz w:val="24"/>
          <w:szCs w:val="24"/>
        </w:rPr>
        <w:t xml:space="preserve">If counterparties notify their intention </w:t>
      </w:r>
      <w:r w:rsidR="00B36B91" w:rsidRPr="00F11185">
        <w:rPr>
          <w:sz w:val="24"/>
          <w:szCs w:val="24"/>
        </w:rPr>
        <w:t xml:space="preserve">to use the exception </w:t>
      </w:r>
      <w:r w:rsidRPr="00F11185">
        <w:rPr>
          <w:sz w:val="24"/>
          <w:szCs w:val="24"/>
        </w:rPr>
        <w:t>to NBS on different dates,</w:t>
      </w:r>
      <w:r w:rsidR="00B36B91" w:rsidRPr="00F11185">
        <w:rPr>
          <w:sz w:val="24"/>
          <w:szCs w:val="24"/>
        </w:rPr>
        <w:t xml:space="preserve"> and no decision on fulfilment of conditions is notified by NBS, they should wait until the end of the later of the two three-month periods before relying on the exemption.</w:t>
      </w:r>
    </w:p>
    <w:p w14:paraId="054E90E4" w14:textId="462B8676" w:rsidR="00082911" w:rsidRPr="00F11185" w:rsidRDefault="0080336C" w:rsidP="0046528A">
      <w:pPr>
        <w:pStyle w:val="Heading2"/>
        <w:spacing w:before="230"/>
        <w:jc w:val="both"/>
      </w:pPr>
      <w:r w:rsidRPr="00F11185">
        <w:rPr>
          <w:u w:val="thick"/>
        </w:rPr>
        <w:t>Example 2</w:t>
      </w:r>
      <w:r w:rsidRPr="00F11185">
        <w:t>: One counterparty is established in Slovak</w:t>
      </w:r>
      <w:r w:rsidR="00DF7CBE" w:rsidRPr="00F11185">
        <w:t>ia</w:t>
      </w:r>
      <w:r w:rsidRPr="00F11185">
        <w:t xml:space="preserve"> and the other counterparty is established in another EU Member State.</w:t>
      </w:r>
    </w:p>
    <w:p w14:paraId="32192D1B" w14:textId="77777777" w:rsidR="00082911" w:rsidRPr="00F11185" w:rsidRDefault="00082911">
      <w:pPr>
        <w:pStyle w:val="BodyText"/>
        <w:spacing w:before="1"/>
        <w:rPr>
          <w:b/>
        </w:rPr>
      </w:pPr>
    </w:p>
    <w:p w14:paraId="0AE43A15" w14:textId="50FAFB1C" w:rsidR="00082911" w:rsidRPr="00F11185" w:rsidRDefault="00C04246">
      <w:pPr>
        <w:pStyle w:val="ListParagraph"/>
        <w:numPr>
          <w:ilvl w:val="0"/>
          <w:numId w:val="4"/>
        </w:numPr>
        <w:tabs>
          <w:tab w:val="left" w:pos="477"/>
        </w:tabs>
        <w:ind w:right="114"/>
        <w:rPr>
          <w:sz w:val="23"/>
        </w:rPr>
      </w:pPr>
      <w:r w:rsidRPr="006E3E9A">
        <w:rPr>
          <w:b/>
          <w:bCs/>
          <w:sz w:val="23"/>
        </w:rPr>
        <w:t xml:space="preserve">Both </w:t>
      </w:r>
      <w:r w:rsidR="0080336C" w:rsidRPr="006E3E9A">
        <w:rPr>
          <w:b/>
          <w:bCs/>
          <w:sz w:val="23"/>
        </w:rPr>
        <w:t>counterpart</w:t>
      </w:r>
      <w:r w:rsidRPr="006E3E9A">
        <w:rPr>
          <w:b/>
          <w:bCs/>
          <w:sz w:val="23"/>
        </w:rPr>
        <w:t>ies</w:t>
      </w:r>
      <w:r w:rsidR="0080336C" w:rsidRPr="006E3E9A">
        <w:rPr>
          <w:b/>
          <w:bCs/>
          <w:sz w:val="23"/>
        </w:rPr>
        <w:t xml:space="preserve"> </w:t>
      </w:r>
      <w:r w:rsidR="00E40ADE" w:rsidRPr="006E3E9A">
        <w:rPr>
          <w:b/>
          <w:bCs/>
          <w:sz w:val="23"/>
        </w:rPr>
        <w:t>must</w:t>
      </w:r>
      <w:r w:rsidR="0080336C" w:rsidRPr="006E3E9A">
        <w:rPr>
          <w:b/>
          <w:bCs/>
          <w:sz w:val="23"/>
        </w:rPr>
        <w:t xml:space="preserve"> </w:t>
      </w:r>
      <w:r w:rsidR="00E40ADE" w:rsidRPr="006E3E9A">
        <w:rPr>
          <w:b/>
          <w:bCs/>
          <w:sz w:val="23"/>
        </w:rPr>
        <w:t>separately</w:t>
      </w:r>
      <w:r w:rsidR="00E40ADE" w:rsidRPr="00F11185">
        <w:rPr>
          <w:b/>
          <w:bCs/>
          <w:sz w:val="23"/>
        </w:rPr>
        <w:t xml:space="preserve"> </w:t>
      </w:r>
      <w:r w:rsidR="0080336C" w:rsidRPr="00F11185">
        <w:rPr>
          <w:b/>
          <w:bCs/>
          <w:sz w:val="23"/>
        </w:rPr>
        <w:t xml:space="preserve">notify </w:t>
      </w:r>
      <w:r w:rsidRPr="00F11185">
        <w:rPr>
          <w:b/>
          <w:bCs/>
          <w:sz w:val="23"/>
        </w:rPr>
        <w:t xml:space="preserve">their respective </w:t>
      </w:r>
      <w:r w:rsidR="0080336C" w:rsidRPr="00F11185">
        <w:rPr>
          <w:b/>
          <w:bCs/>
          <w:sz w:val="23"/>
        </w:rPr>
        <w:t>competent authorit</w:t>
      </w:r>
      <w:r w:rsidR="00E40ADE" w:rsidRPr="00F11185">
        <w:rPr>
          <w:b/>
          <w:bCs/>
          <w:sz w:val="23"/>
        </w:rPr>
        <w:t>ies</w:t>
      </w:r>
      <w:r w:rsidR="0080336C" w:rsidRPr="00F11185">
        <w:rPr>
          <w:b/>
          <w:bCs/>
          <w:sz w:val="23"/>
        </w:rPr>
        <w:t xml:space="preserve"> in writing </w:t>
      </w:r>
      <w:r w:rsidR="0080336C" w:rsidRPr="00F11185">
        <w:rPr>
          <w:sz w:val="23"/>
        </w:rPr>
        <w:t xml:space="preserve">that </w:t>
      </w:r>
      <w:r w:rsidRPr="00F11185">
        <w:rPr>
          <w:sz w:val="23"/>
        </w:rPr>
        <w:t>they intend</w:t>
      </w:r>
      <w:r w:rsidR="0080336C" w:rsidRPr="00F11185">
        <w:rPr>
          <w:sz w:val="23"/>
        </w:rPr>
        <w:t xml:space="preserve"> to</w:t>
      </w:r>
      <w:r w:rsidRPr="00F11185">
        <w:rPr>
          <w:sz w:val="23"/>
        </w:rPr>
        <w:t xml:space="preserve"> </w:t>
      </w:r>
      <w:r w:rsidR="00664859" w:rsidRPr="00F11185">
        <w:rPr>
          <w:sz w:val="23"/>
        </w:rPr>
        <w:t>apply</w:t>
      </w:r>
      <w:r w:rsidRPr="00F11185">
        <w:rPr>
          <w:sz w:val="23"/>
        </w:rPr>
        <w:t xml:space="preserve"> </w:t>
      </w:r>
      <w:r w:rsidR="0080336C" w:rsidRPr="00F11185">
        <w:rPr>
          <w:sz w:val="23"/>
        </w:rPr>
        <w:t xml:space="preserve">the reporting obligation </w:t>
      </w:r>
      <w:r w:rsidR="00E40ADE" w:rsidRPr="00F11185">
        <w:rPr>
          <w:sz w:val="23"/>
        </w:rPr>
        <w:t xml:space="preserve">exemption </w:t>
      </w:r>
      <w:r w:rsidR="0080336C" w:rsidRPr="00F11185">
        <w:rPr>
          <w:sz w:val="23"/>
        </w:rPr>
        <w:t>for intragroup derivative transactions concluded between each other</w:t>
      </w:r>
      <w:r w:rsidR="00E40ADE" w:rsidRPr="00F11185">
        <w:rPr>
          <w:sz w:val="23"/>
        </w:rPr>
        <w:t>;</w:t>
      </w:r>
      <w:r w:rsidR="0080336C" w:rsidRPr="00F11185">
        <w:rPr>
          <w:sz w:val="23"/>
        </w:rPr>
        <w:t xml:space="preserve"> </w:t>
      </w:r>
      <w:proofErr w:type="gramStart"/>
      <w:r w:rsidR="0080336C" w:rsidRPr="00F11185">
        <w:rPr>
          <w:sz w:val="23"/>
        </w:rPr>
        <w:t>i.e.</w:t>
      </w:r>
      <w:proofErr w:type="gramEnd"/>
      <w:r w:rsidR="0080336C" w:rsidRPr="00F11185">
        <w:rPr>
          <w:sz w:val="23"/>
        </w:rPr>
        <w:t xml:space="preserve"> the counterparty established in Slovak</w:t>
      </w:r>
      <w:r w:rsidR="00E40ADE" w:rsidRPr="00F11185">
        <w:rPr>
          <w:sz w:val="23"/>
        </w:rPr>
        <w:t>ia</w:t>
      </w:r>
      <w:r w:rsidR="0080336C" w:rsidRPr="00F11185">
        <w:rPr>
          <w:sz w:val="23"/>
        </w:rPr>
        <w:t xml:space="preserve"> </w:t>
      </w:r>
      <w:r w:rsidR="00E40ADE" w:rsidRPr="00F11185">
        <w:rPr>
          <w:sz w:val="23"/>
        </w:rPr>
        <w:t>must</w:t>
      </w:r>
      <w:r w:rsidR="0080336C" w:rsidRPr="00F11185">
        <w:rPr>
          <w:sz w:val="23"/>
        </w:rPr>
        <w:t xml:space="preserve"> </w:t>
      </w:r>
      <w:r w:rsidRPr="00F11185">
        <w:rPr>
          <w:sz w:val="23"/>
        </w:rPr>
        <w:t>notify</w:t>
      </w:r>
      <w:r w:rsidR="0080336C" w:rsidRPr="00F11185">
        <w:rPr>
          <w:sz w:val="23"/>
        </w:rPr>
        <w:t xml:space="preserve"> NBS</w:t>
      </w:r>
      <w:r w:rsidR="00D90583" w:rsidRPr="00F11185">
        <w:rPr>
          <w:sz w:val="23"/>
        </w:rPr>
        <w:t xml:space="preserve">, </w:t>
      </w:r>
      <w:r w:rsidR="00E40ADE" w:rsidRPr="00F11185">
        <w:rPr>
          <w:sz w:val="23"/>
        </w:rPr>
        <w:t>and</w:t>
      </w:r>
      <w:r w:rsidR="00D90583" w:rsidRPr="00F11185">
        <w:rPr>
          <w:sz w:val="23"/>
        </w:rPr>
        <w:t xml:space="preserve"> </w:t>
      </w:r>
      <w:r w:rsidR="00E40ADE" w:rsidRPr="00F11185">
        <w:rPr>
          <w:sz w:val="23"/>
        </w:rPr>
        <w:t>the</w:t>
      </w:r>
      <w:r w:rsidRPr="00F11185">
        <w:rPr>
          <w:sz w:val="23"/>
        </w:rPr>
        <w:t xml:space="preserve"> </w:t>
      </w:r>
      <w:r w:rsidR="0080336C" w:rsidRPr="00F11185">
        <w:rPr>
          <w:sz w:val="23"/>
        </w:rPr>
        <w:t xml:space="preserve">counterparty established in another Member State </w:t>
      </w:r>
      <w:r w:rsidR="00E40ADE" w:rsidRPr="00F11185">
        <w:rPr>
          <w:sz w:val="23"/>
        </w:rPr>
        <w:t>must</w:t>
      </w:r>
      <w:r w:rsidR="0080336C" w:rsidRPr="00F11185">
        <w:rPr>
          <w:sz w:val="23"/>
        </w:rPr>
        <w:t xml:space="preserve"> </w:t>
      </w:r>
      <w:r w:rsidR="00D90583" w:rsidRPr="00F11185">
        <w:rPr>
          <w:sz w:val="23"/>
        </w:rPr>
        <w:t>notify</w:t>
      </w:r>
      <w:r w:rsidR="0080336C" w:rsidRPr="00F11185">
        <w:rPr>
          <w:sz w:val="23"/>
        </w:rPr>
        <w:t xml:space="preserve"> the competent authority </w:t>
      </w:r>
      <w:r w:rsidR="00D90583" w:rsidRPr="00F11185">
        <w:rPr>
          <w:sz w:val="23"/>
        </w:rPr>
        <w:t xml:space="preserve">of </w:t>
      </w:r>
      <w:r w:rsidR="0080336C" w:rsidRPr="00F11185">
        <w:rPr>
          <w:sz w:val="23"/>
        </w:rPr>
        <w:t>that Member State.</w:t>
      </w:r>
    </w:p>
    <w:p w14:paraId="0A4ED8C2" w14:textId="738FBF2D" w:rsidR="00F40425" w:rsidRPr="006E3E9A" w:rsidRDefault="00F40425" w:rsidP="00F40425">
      <w:pPr>
        <w:pStyle w:val="Default"/>
        <w:numPr>
          <w:ilvl w:val="0"/>
          <w:numId w:val="4"/>
        </w:numPr>
        <w:tabs>
          <w:tab w:val="left" w:pos="477"/>
        </w:tabs>
        <w:spacing w:before="91" w:after="240"/>
        <w:ind w:right="116"/>
        <w:jc w:val="both"/>
        <w:rPr>
          <w:lang w:val="en-GB"/>
        </w:rPr>
      </w:pPr>
      <w:r w:rsidRPr="006E3E9A">
        <w:rPr>
          <w:lang w:val="en-GB"/>
        </w:rPr>
        <w:t xml:space="preserve">When notifying of their intention to apply the </w:t>
      </w:r>
      <w:r w:rsidR="00F44AF2" w:rsidRPr="006E3E9A">
        <w:rPr>
          <w:sz w:val="23"/>
          <w:lang w:val="en-GB"/>
        </w:rPr>
        <w:t>reporting obligation exemption for intragroup derivative transactions</w:t>
      </w:r>
      <w:r w:rsidR="00F44AF2" w:rsidRPr="006E3E9A">
        <w:rPr>
          <w:lang w:val="en-GB"/>
        </w:rPr>
        <w:t xml:space="preserve"> </w:t>
      </w:r>
      <w:r w:rsidRPr="006E3E9A">
        <w:rPr>
          <w:lang w:val="en-GB"/>
        </w:rPr>
        <w:t>in accordance with Article 9(1) EMIR, as amended by Regulation 2019/834, the notifying counterparty established in Slovakia should state that it fulfils the conditions laid down in Article 9(1) EMIR, as amended by Regulation 2019/834.</w:t>
      </w:r>
    </w:p>
    <w:p w14:paraId="74A2C538" w14:textId="6BCF36C6" w:rsidR="00F40425" w:rsidRPr="00F11185" w:rsidRDefault="00F40425" w:rsidP="00F40425">
      <w:pPr>
        <w:pStyle w:val="ListParagraph"/>
        <w:widowControl/>
        <w:numPr>
          <w:ilvl w:val="0"/>
          <w:numId w:val="4"/>
        </w:numPr>
        <w:shd w:val="clear" w:color="auto" w:fill="FFFFFF"/>
        <w:autoSpaceDE/>
        <w:autoSpaceDN/>
        <w:spacing w:after="240"/>
        <w:rPr>
          <w:sz w:val="24"/>
          <w:szCs w:val="24"/>
          <w:lang w:val="en" w:eastAsia="sk-SK"/>
        </w:rPr>
      </w:pPr>
      <w:r w:rsidRPr="00F11185">
        <w:rPr>
          <w:sz w:val="24"/>
          <w:szCs w:val="24"/>
          <w:lang w:val="en" w:eastAsia="sk-SK"/>
        </w:rPr>
        <w:t xml:space="preserve">In accordance with paragraph 1, the notifying counterparty </w:t>
      </w:r>
      <w:r w:rsidRPr="00F11185">
        <w:rPr>
          <w:sz w:val="24"/>
          <w:szCs w:val="24"/>
        </w:rPr>
        <w:t xml:space="preserve">established in Slovakia </w:t>
      </w:r>
      <w:r w:rsidRPr="00F11185">
        <w:rPr>
          <w:sz w:val="24"/>
          <w:szCs w:val="24"/>
          <w:lang w:val="en" w:eastAsia="sk-SK"/>
        </w:rPr>
        <w:t xml:space="preserve">shall demonstrate compliance with the above conditions for intragroup transactions by filling in the relevant fields </w:t>
      </w:r>
      <w:r w:rsidR="00F44AF2" w:rsidRPr="00F11185">
        <w:rPr>
          <w:sz w:val="23"/>
        </w:rPr>
        <w:t xml:space="preserve">in the template (Annex 1) </w:t>
      </w:r>
      <w:r w:rsidRPr="00F11185">
        <w:rPr>
          <w:sz w:val="24"/>
          <w:szCs w:val="24"/>
          <w:lang w:val="en" w:eastAsia="sk-SK"/>
        </w:rPr>
        <w:t xml:space="preserve">pursuant to this Guidance and, where appropriate, by providing the required information in </w:t>
      </w:r>
      <w:r w:rsidR="00DB62B3" w:rsidRPr="00F11185">
        <w:rPr>
          <w:sz w:val="23"/>
        </w:rPr>
        <w:t>an annex to the template</w:t>
      </w:r>
      <w:r w:rsidRPr="00F11185">
        <w:rPr>
          <w:sz w:val="24"/>
          <w:szCs w:val="24"/>
          <w:lang w:val="en" w:eastAsia="sk-SK"/>
        </w:rPr>
        <w:t xml:space="preserve">. </w:t>
      </w:r>
    </w:p>
    <w:p w14:paraId="4BA9EC5D" w14:textId="6052FAA7" w:rsidR="00F40425" w:rsidRPr="00F11185" w:rsidRDefault="00F40425" w:rsidP="00F40425">
      <w:pPr>
        <w:pStyle w:val="ListParagraph"/>
        <w:widowControl/>
        <w:numPr>
          <w:ilvl w:val="0"/>
          <w:numId w:val="4"/>
        </w:numPr>
        <w:shd w:val="clear" w:color="auto" w:fill="FFFFFF"/>
        <w:autoSpaceDE/>
        <w:autoSpaceDN/>
        <w:spacing w:after="240"/>
        <w:rPr>
          <w:sz w:val="24"/>
          <w:szCs w:val="24"/>
        </w:rPr>
      </w:pPr>
      <w:r w:rsidRPr="00F11185">
        <w:rPr>
          <w:sz w:val="24"/>
          <w:szCs w:val="24"/>
          <w:lang w:val="en" w:eastAsia="sk-SK"/>
        </w:rPr>
        <w:lastRenderedPageBreak/>
        <w:t>NBS may ask for additional information and/or documents to assess the fulfilment of the conditions referred to in the third subparagraph of Article 9(1) of EMIR, as amended by Regulation 2019/834.</w:t>
      </w:r>
      <w:r w:rsidRPr="00F11185">
        <w:rPr>
          <w:sz w:val="24"/>
          <w:szCs w:val="24"/>
        </w:rPr>
        <w:t xml:space="preserve"> </w:t>
      </w:r>
    </w:p>
    <w:p w14:paraId="1E3CEBB5" w14:textId="77777777" w:rsidR="0003440B" w:rsidRPr="00F11185" w:rsidRDefault="00F40425" w:rsidP="0003440B">
      <w:pPr>
        <w:pStyle w:val="ListParagraph"/>
        <w:numPr>
          <w:ilvl w:val="0"/>
          <w:numId w:val="4"/>
        </w:numPr>
        <w:tabs>
          <w:tab w:val="left" w:pos="477"/>
        </w:tabs>
        <w:ind w:right="121"/>
        <w:rPr>
          <w:sz w:val="24"/>
          <w:szCs w:val="24"/>
        </w:rPr>
      </w:pPr>
      <w:r w:rsidRPr="00F11185">
        <w:rPr>
          <w:sz w:val="24"/>
          <w:szCs w:val="24"/>
        </w:rPr>
        <w:t xml:space="preserve">The intragroup counterparty established in another Member State must demonstrate compliance with the conditions for </w:t>
      </w:r>
      <w:r w:rsidR="00F44AF2" w:rsidRPr="00F11185">
        <w:rPr>
          <w:sz w:val="23"/>
        </w:rPr>
        <w:t>reporting obligation exemption for intragroup derivative transactions</w:t>
      </w:r>
      <w:r w:rsidR="00F44AF2" w:rsidRPr="00F11185">
        <w:rPr>
          <w:sz w:val="24"/>
          <w:szCs w:val="24"/>
        </w:rPr>
        <w:t xml:space="preserve"> </w:t>
      </w:r>
      <w:r w:rsidRPr="00F11185">
        <w:rPr>
          <w:sz w:val="24"/>
          <w:szCs w:val="24"/>
        </w:rPr>
        <w:t>in accordance with the procedures laid down by the competent authority of that Member State.</w:t>
      </w:r>
    </w:p>
    <w:p w14:paraId="586763E1" w14:textId="7A7E774C" w:rsidR="0003440B" w:rsidRPr="0003440B" w:rsidRDefault="00DE798A" w:rsidP="00135932">
      <w:pPr>
        <w:pStyle w:val="ListParagraph"/>
        <w:widowControl/>
        <w:numPr>
          <w:ilvl w:val="0"/>
          <w:numId w:val="4"/>
        </w:numPr>
        <w:shd w:val="clear" w:color="auto" w:fill="FFFFFF"/>
        <w:tabs>
          <w:tab w:val="left" w:pos="477"/>
        </w:tabs>
        <w:autoSpaceDE/>
        <w:autoSpaceDN/>
        <w:spacing w:before="240" w:after="240"/>
        <w:ind w:right="121"/>
        <w:rPr>
          <w:sz w:val="24"/>
          <w:szCs w:val="24"/>
          <w:lang w:val="en" w:eastAsia="sk-SK"/>
        </w:rPr>
      </w:pPr>
      <w:r w:rsidRPr="00F11185">
        <w:rPr>
          <w:sz w:val="24"/>
          <w:szCs w:val="24"/>
        </w:rPr>
        <w:t>NBS and the competent authority of another Member State assess separately whether the conditions laid down in Article 9(1) are met. Where NBS considers that the conditions are not fulfilled, it shall notify the counterparty</w:t>
      </w:r>
      <w:r w:rsidR="0003440B" w:rsidRPr="00F11185">
        <w:rPr>
          <w:sz w:val="24"/>
          <w:szCs w:val="24"/>
        </w:rPr>
        <w:t xml:space="preserve"> established</w:t>
      </w:r>
      <w:r w:rsidRPr="00F11185">
        <w:rPr>
          <w:sz w:val="24"/>
          <w:szCs w:val="24"/>
        </w:rPr>
        <w:t xml:space="preserve"> in Slovakia as well as the other NCA(s) within the three-month period of the receipt of the notification and specify the reasons.</w:t>
      </w:r>
      <w:r w:rsidR="0003440B" w:rsidRPr="00F11185">
        <w:rPr>
          <w:sz w:val="24"/>
          <w:szCs w:val="24"/>
        </w:rPr>
        <w:t xml:space="preserve"> </w:t>
      </w:r>
      <w:r w:rsidR="0003440B" w:rsidRPr="0003440B">
        <w:rPr>
          <w:sz w:val="24"/>
          <w:szCs w:val="24"/>
          <w:lang w:val="en" w:eastAsia="sk-SK"/>
        </w:rPr>
        <w:t>A competent authority in another Member State should do the same in relation to a counterparty established in another Member State if it considers that the conditions for applying the exemption are not fulfilled.</w:t>
      </w:r>
    </w:p>
    <w:p w14:paraId="355CC784" w14:textId="148CB48B" w:rsidR="00135932" w:rsidRPr="00F11185" w:rsidRDefault="00135932" w:rsidP="00135932">
      <w:pPr>
        <w:pStyle w:val="ListParagraph"/>
        <w:widowControl/>
        <w:numPr>
          <w:ilvl w:val="0"/>
          <w:numId w:val="4"/>
        </w:numPr>
        <w:shd w:val="clear" w:color="auto" w:fill="FFFFFF"/>
        <w:autoSpaceDE/>
        <w:autoSpaceDN/>
        <w:spacing w:after="240"/>
        <w:rPr>
          <w:sz w:val="24"/>
          <w:szCs w:val="24"/>
        </w:rPr>
      </w:pPr>
      <w:r w:rsidRPr="00F11185">
        <w:rPr>
          <w:sz w:val="24"/>
          <w:szCs w:val="24"/>
        </w:rPr>
        <w:t>The exemption shall be valid from the date when NBS and the competent authority of another Member State confirms to the counterparty(</w:t>
      </w:r>
      <w:proofErr w:type="spellStart"/>
      <w:r w:rsidRPr="00F11185">
        <w:rPr>
          <w:sz w:val="24"/>
          <w:szCs w:val="24"/>
        </w:rPr>
        <w:t>ies</w:t>
      </w:r>
      <w:proofErr w:type="spellEnd"/>
      <w:r w:rsidRPr="00F11185">
        <w:rPr>
          <w:sz w:val="24"/>
          <w:szCs w:val="24"/>
        </w:rPr>
        <w:t>) that the conditions to use the exemption are satisfied, or if no decision is notified by NBS or the competent authority of another Member State, it will be valid from the end of the three-month non-objection period, if NBS or a competent authority in another Member State</w:t>
      </w:r>
      <w:r w:rsidR="00742E59" w:rsidRPr="00F11185">
        <w:rPr>
          <w:sz w:val="24"/>
          <w:szCs w:val="24"/>
        </w:rPr>
        <w:t xml:space="preserve"> has not objected that the conditions to use the exemption are satisfied.</w:t>
      </w:r>
      <w:r w:rsidR="00702289" w:rsidRPr="00F11185">
        <w:rPr>
          <w:sz w:val="24"/>
          <w:szCs w:val="24"/>
        </w:rPr>
        <w:t xml:space="preserve"> If the conditions</w:t>
      </w:r>
      <w:r w:rsidRPr="00F11185">
        <w:rPr>
          <w:sz w:val="24"/>
          <w:szCs w:val="24"/>
        </w:rPr>
        <w:t xml:space="preserve">, referred to in the third sub-paragraph of Article 9(1) EMIR, as amended by Regulation 2019/834, change, the counterparties </w:t>
      </w:r>
      <w:r w:rsidR="00702289" w:rsidRPr="00F11185">
        <w:rPr>
          <w:sz w:val="24"/>
          <w:szCs w:val="24"/>
        </w:rPr>
        <w:t xml:space="preserve">shall </w:t>
      </w:r>
      <w:r w:rsidRPr="00F11185">
        <w:rPr>
          <w:sz w:val="24"/>
          <w:szCs w:val="24"/>
        </w:rPr>
        <w:t xml:space="preserve">inform </w:t>
      </w:r>
      <w:proofErr w:type="gramStart"/>
      <w:r w:rsidR="00702289" w:rsidRPr="00F11185">
        <w:rPr>
          <w:sz w:val="24"/>
          <w:szCs w:val="24"/>
        </w:rPr>
        <w:t>their  competent</w:t>
      </w:r>
      <w:proofErr w:type="gramEnd"/>
      <w:r w:rsidR="00702289" w:rsidRPr="00F11185">
        <w:rPr>
          <w:sz w:val="24"/>
          <w:szCs w:val="24"/>
        </w:rPr>
        <w:t xml:space="preserve"> authority</w:t>
      </w:r>
      <w:r w:rsidRPr="00F11185">
        <w:rPr>
          <w:sz w:val="24"/>
          <w:szCs w:val="24"/>
        </w:rPr>
        <w:t>. Without prejudice to the existing exemption, NBS</w:t>
      </w:r>
      <w:r w:rsidR="00702289" w:rsidRPr="00F11185">
        <w:rPr>
          <w:sz w:val="24"/>
          <w:szCs w:val="24"/>
        </w:rPr>
        <w:t xml:space="preserve"> or the competent authority of another Member State</w:t>
      </w:r>
      <w:r w:rsidRPr="00F11185">
        <w:rPr>
          <w:sz w:val="24"/>
          <w:szCs w:val="24"/>
        </w:rPr>
        <w:t xml:space="preserve"> can object to the use of the exemption due to the change in the conditions. From that point in time the </w:t>
      </w:r>
      <w:r w:rsidR="00702289" w:rsidRPr="00F11185">
        <w:rPr>
          <w:sz w:val="23"/>
        </w:rPr>
        <w:t>reporting obligation exemption for intragroup derivative transactions</w:t>
      </w:r>
      <w:r w:rsidR="00702289" w:rsidRPr="00F11185">
        <w:rPr>
          <w:sz w:val="24"/>
          <w:szCs w:val="24"/>
        </w:rPr>
        <w:t xml:space="preserve"> </w:t>
      </w:r>
      <w:r w:rsidRPr="00F11185">
        <w:rPr>
          <w:sz w:val="24"/>
          <w:szCs w:val="24"/>
        </w:rPr>
        <w:t>will not be valid.</w:t>
      </w:r>
    </w:p>
    <w:p w14:paraId="6B44FA5F" w14:textId="57B088C7" w:rsidR="00702289" w:rsidRPr="00F11185" w:rsidRDefault="00702289" w:rsidP="00702289">
      <w:pPr>
        <w:pStyle w:val="ListParagraph"/>
        <w:widowControl/>
        <w:numPr>
          <w:ilvl w:val="0"/>
          <w:numId w:val="4"/>
        </w:numPr>
        <w:shd w:val="clear" w:color="auto" w:fill="FFFFFF"/>
        <w:autoSpaceDE/>
        <w:autoSpaceDN/>
        <w:spacing w:after="240"/>
        <w:rPr>
          <w:sz w:val="24"/>
          <w:szCs w:val="24"/>
        </w:rPr>
      </w:pPr>
      <w:r w:rsidRPr="00F11185">
        <w:rPr>
          <w:sz w:val="24"/>
          <w:szCs w:val="24"/>
        </w:rPr>
        <w:t>If the relevant counterparties notify their intention to use the exception to NBS and the competent authority of another Member State on different dates, and no decision on fulfilment of conditions is notified by NBS and the competent authority of another Member State, they should wait until the end of the later of the two three-month periods before relying on the exemption.</w:t>
      </w:r>
    </w:p>
    <w:p w14:paraId="38D464C6" w14:textId="77777777" w:rsidR="00082911" w:rsidRPr="00F11185" w:rsidRDefault="00082911">
      <w:pPr>
        <w:pStyle w:val="BodyText"/>
        <w:rPr>
          <w:sz w:val="26"/>
        </w:rPr>
      </w:pPr>
    </w:p>
    <w:p w14:paraId="472AD114" w14:textId="5AEBA449" w:rsidR="00082911" w:rsidRPr="00F11185" w:rsidRDefault="0080336C" w:rsidP="0046528A">
      <w:pPr>
        <w:pStyle w:val="Heading2"/>
        <w:spacing w:before="218"/>
        <w:jc w:val="both"/>
      </w:pPr>
      <w:r w:rsidRPr="00F11185">
        <w:rPr>
          <w:u w:val="thick"/>
        </w:rPr>
        <w:t>Example 3</w:t>
      </w:r>
      <w:r w:rsidRPr="00F11185">
        <w:t>: One</w:t>
      </w:r>
      <w:r w:rsidR="00606E9C" w:rsidRPr="00F11185">
        <w:t xml:space="preserve"> </w:t>
      </w:r>
      <w:r w:rsidRPr="00F11185">
        <w:t>counterpart</w:t>
      </w:r>
      <w:r w:rsidR="008478AE" w:rsidRPr="00F11185">
        <w:t>y</w:t>
      </w:r>
      <w:r w:rsidRPr="00F11185">
        <w:t xml:space="preserve"> is established in Slovak</w:t>
      </w:r>
      <w:r w:rsidR="008478AE" w:rsidRPr="00F11185">
        <w:t>ia</w:t>
      </w:r>
      <w:r w:rsidRPr="00F11185">
        <w:t xml:space="preserve"> and the other counterparty is established in a third country.</w:t>
      </w:r>
    </w:p>
    <w:p w14:paraId="75EDC4FC" w14:textId="60B38F4D" w:rsidR="00672E1E" w:rsidRPr="00F11185" w:rsidRDefault="00672E1E" w:rsidP="00672E1E">
      <w:pPr>
        <w:widowControl/>
        <w:shd w:val="clear" w:color="auto" w:fill="FFFFFF"/>
        <w:autoSpaceDE/>
        <w:autoSpaceDN/>
        <w:ind w:left="360"/>
        <w:rPr>
          <w:sz w:val="24"/>
          <w:szCs w:val="24"/>
          <w:lang w:eastAsia="sk-SK"/>
        </w:rPr>
      </w:pPr>
    </w:p>
    <w:p w14:paraId="689EA0A9" w14:textId="77777777" w:rsidR="00F47A79" w:rsidRPr="006E3E9A" w:rsidRDefault="00672E1E" w:rsidP="00F47A79">
      <w:pPr>
        <w:pStyle w:val="Default"/>
        <w:numPr>
          <w:ilvl w:val="1"/>
          <w:numId w:val="11"/>
        </w:numPr>
        <w:spacing w:after="240"/>
        <w:ind w:left="360"/>
        <w:jc w:val="both"/>
        <w:rPr>
          <w:lang w:val="en-GB"/>
        </w:rPr>
      </w:pPr>
      <w:r w:rsidRPr="00F11185">
        <w:rPr>
          <w:lang w:val="en-GB"/>
        </w:rPr>
        <w:t xml:space="preserve">In </w:t>
      </w:r>
      <w:r w:rsidRPr="00F11185">
        <w:rPr>
          <w:lang w:val="en-GB" w:eastAsia="sk-SK"/>
        </w:rPr>
        <w:t xml:space="preserve">this case, it is first necessary to identify whether the parent undertaking is established in the EU or in a third country. </w:t>
      </w:r>
      <w:r w:rsidRPr="00F11185">
        <w:rPr>
          <w:lang w:val="en-GB"/>
        </w:rPr>
        <w:t xml:space="preserve">The exemption contained in Article 9(1) of </w:t>
      </w:r>
      <w:r w:rsidRPr="006E3E9A">
        <w:rPr>
          <w:b/>
          <w:bCs/>
          <w:lang w:val="en-GB"/>
        </w:rPr>
        <w:t>EMIR does not cover intragroup transactions for which the parent undertaking is established in a third country</w:t>
      </w:r>
      <w:r w:rsidRPr="00F11185">
        <w:rPr>
          <w:lang w:val="en-GB"/>
        </w:rPr>
        <w:t>, even if the transaction occurs between two counterparties which are both established in the EU (</w:t>
      </w:r>
      <w:r w:rsidRPr="006E3E9A">
        <w:rPr>
          <w:lang w:val="en-GB"/>
        </w:rPr>
        <w:t xml:space="preserve">see </w:t>
      </w:r>
      <w:r w:rsidRPr="006E3E9A">
        <w:t xml:space="preserve">ESMA </w:t>
      </w:r>
      <w:hyperlink r:id="rId8" w:history="1">
        <w:r w:rsidRPr="006E3E9A">
          <w:rPr>
            <w:rStyle w:val="Hyperlink"/>
          </w:rPr>
          <w:t>Q&amp;A</w:t>
        </w:r>
      </w:hyperlink>
      <w:r w:rsidRPr="006E3E9A">
        <w:t xml:space="preserve">  </w:t>
      </w:r>
      <w:r w:rsidRPr="006E3E9A">
        <w:rPr>
          <w:lang w:val="en-GB"/>
        </w:rPr>
        <w:t xml:space="preserve">question 51(m)). </w:t>
      </w:r>
    </w:p>
    <w:p w14:paraId="7B7C9ADE" w14:textId="34CB40B4" w:rsidR="00F47A79" w:rsidRPr="006E3E9A" w:rsidRDefault="00F47A79" w:rsidP="00F47A79">
      <w:pPr>
        <w:pStyle w:val="Default"/>
        <w:numPr>
          <w:ilvl w:val="1"/>
          <w:numId w:val="11"/>
        </w:numPr>
        <w:spacing w:after="240"/>
        <w:ind w:left="360"/>
        <w:jc w:val="both"/>
        <w:rPr>
          <w:lang w:val="en-GB"/>
        </w:rPr>
      </w:pPr>
      <w:r w:rsidRPr="00F11185">
        <w:rPr>
          <w:lang w:val="en-GB"/>
        </w:rPr>
        <w:t xml:space="preserve">Where the parent undertaking is established in the EU, it is not necessary for the Commission to have adopted an implementing act (equivalence decision) under Article 13(2) EMIR in order for the reporting exemption under Article 9(1), as amended by Regulation 2019/834, to apply to derivatives entered into between a counterparty established in the Union and a counterparty established in a third country which would be an NFC if it were established in the Union </w:t>
      </w:r>
      <w:r w:rsidRPr="006E3E9A">
        <w:rPr>
          <w:lang w:val="en-GB"/>
        </w:rPr>
        <w:t xml:space="preserve">(see ESMA </w:t>
      </w:r>
      <w:hyperlink r:id="rId9" w:history="1">
        <w:r w:rsidRPr="006E3E9A">
          <w:rPr>
            <w:lang w:val="en-GB"/>
          </w:rPr>
          <w:t>Q&amp;A</w:t>
        </w:r>
      </w:hyperlink>
      <w:r w:rsidRPr="006E3E9A">
        <w:rPr>
          <w:lang w:val="en-GB"/>
        </w:rPr>
        <w:t xml:space="preserve">  question 51(</w:t>
      </w:r>
      <w:proofErr w:type="spellStart"/>
      <w:r w:rsidR="00404B73" w:rsidRPr="006E3E9A">
        <w:rPr>
          <w:lang w:val="en-GB"/>
        </w:rPr>
        <w:t>i</w:t>
      </w:r>
      <w:proofErr w:type="spellEnd"/>
      <w:r w:rsidRPr="006E3E9A">
        <w:rPr>
          <w:lang w:val="en-GB"/>
        </w:rPr>
        <w:t xml:space="preserve">)). </w:t>
      </w:r>
    </w:p>
    <w:p w14:paraId="5FAD5026" w14:textId="638D5E01" w:rsidR="002804F7" w:rsidRPr="00F11185" w:rsidRDefault="002804F7" w:rsidP="002804F7">
      <w:pPr>
        <w:pStyle w:val="Default"/>
        <w:numPr>
          <w:ilvl w:val="1"/>
          <w:numId w:val="11"/>
        </w:numPr>
        <w:ind w:left="360"/>
        <w:jc w:val="both"/>
        <w:rPr>
          <w:sz w:val="23"/>
        </w:rPr>
      </w:pPr>
      <w:r w:rsidRPr="006E3E9A">
        <w:rPr>
          <w:b/>
          <w:bCs/>
          <w:lang w:val="en-GB"/>
        </w:rPr>
        <w:lastRenderedPageBreak/>
        <w:t xml:space="preserve">If </w:t>
      </w:r>
      <w:r w:rsidRPr="006E3E9A">
        <w:rPr>
          <w:b/>
          <w:bCs/>
          <w:lang w:val="en-GB" w:eastAsia="sk-SK"/>
        </w:rPr>
        <w:t xml:space="preserve">the counterparty's parent undertaking established in the Slovak Republic is established in the EU, </w:t>
      </w:r>
      <w:r w:rsidRPr="006E3E9A">
        <w:rPr>
          <w:b/>
          <w:bCs/>
          <w:lang w:val="en-GB"/>
        </w:rPr>
        <w:t>th</w:t>
      </w:r>
      <w:r w:rsidR="0080336C" w:rsidRPr="006E3E9A">
        <w:rPr>
          <w:b/>
          <w:bCs/>
          <w:lang w:val="en-GB"/>
        </w:rPr>
        <w:t>e</w:t>
      </w:r>
      <w:r w:rsidR="0080336C" w:rsidRPr="00F11185">
        <w:rPr>
          <w:b/>
          <w:lang w:val="en-GB"/>
        </w:rPr>
        <w:t xml:space="preserve"> counterparty established in Slovak</w:t>
      </w:r>
      <w:r w:rsidR="008478AE" w:rsidRPr="00F11185">
        <w:rPr>
          <w:b/>
          <w:lang w:val="en-GB"/>
        </w:rPr>
        <w:t>ia</w:t>
      </w:r>
      <w:r w:rsidR="0080336C" w:rsidRPr="00F11185">
        <w:rPr>
          <w:b/>
          <w:lang w:val="en-GB"/>
        </w:rPr>
        <w:t xml:space="preserve"> </w:t>
      </w:r>
      <w:r w:rsidR="008478AE" w:rsidRPr="00F11185">
        <w:rPr>
          <w:b/>
          <w:lang w:val="en-GB"/>
        </w:rPr>
        <w:t>must</w:t>
      </w:r>
      <w:r w:rsidR="0080336C" w:rsidRPr="00F11185">
        <w:rPr>
          <w:b/>
          <w:lang w:val="en-GB"/>
        </w:rPr>
        <w:t xml:space="preserve"> notify NBS in writing </w:t>
      </w:r>
      <w:r w:rsidR="00606E9C" w:rsidRPr="00F11185">
        <w:rPr>
          <w:b/>
          <w:lang w:val="en-GB"/>
        </w:rPr>
        <w:t>that it intends</w:t>
      </w:r>
      <w:r w:rsidR="0080336C" w:rsidRPr="00F11185">
        <w:rPr>
          <w:b/>
          <w:lang w:val="en-GB"/>
        </w:rPr>
        <w:t xml:space="preserve"> </w:t>
      </w:r>
      <w:r w:rsidR="0080336C" w:rsidRPr="00F11185">
        <w:rPr>
          <w:lang w:val="en-GB"/>
        </w:rPr>
        <w:t xml:space="preserve">to apply the reporting obligation </w:t>
      </w:r>
      <w:r w:rsidR="008478AE" w:rsidRPr="00F11185">
        <w:rPr>
          <w:lang w:val="en-GB"/>
        </w:rPr>
        <w:t xml:space="preserve">exemption </w:t>
      </w:r>
      <w:r w:rsidR="0080336C" w:rsidRPr="00F11185">
        <w:rPr>
          <w:lang w:val="en-GB"/>
        </w:rPr>
        <w:t xml:space="preserve">for intragroup transactions relating to derivative contracts </w:t>
      </w:r>
      <w:r w:rsidR="00664859" w:rsidRPr="00F11185">
        <w:rPr>
          <w:lang w:val="en-GB"/>
        </w:rPr>
        <w:t>which</w:t>
      </w:r>
      <w:r w:rsidR="008478AE" w:rsidRPr="00F11185">
        <w:rPr>
          <w:lang w:val="en-GB"/>
        </w:rPr>
        <w:t xml:space="preserve"> it is to conclude with the </w:t>
      </w:r>
      <w:r w:rsidR="0080336C" w:rsidRPr="00F11185">
        <w:rPr>
          <w:lang w:val="en-GB"/>
        </w:rPr>
        <w:t>counterparty established in a third country</w:t>
      </w:r>
      <w:r w:rsidRPr="00F11185">
        <w:rPr>
          <w:lang w:val="en-GB"/>
        </w:rPr>
        <w:t xml:space="preserve"> in accordance with the procedure described in Example 1 above.</w:t>
      </w:r>
    </w:p>
    <w:p w14:paraId="4453E487" w14:textId="77777777" w:rsidR="00082911" w:rsidRPr="00F11185" w:rsidRDefault="00082911">
      <w:pPr>
        <w:pStyle w:val="BodyText"/>
        <w:rPr>
          <w:sz w:val="26"/>
        </w:rPr>
      </w:pPr>
    </w:p>
    <w:p w14:paraId="6172E0B7" w14:textId="2E3337C0" w:rsidR="00082911" w:rsidRPr="00F11185" w:rsidRDefault="0080336C">
      <w:pPr>
        <w:pStyle w:val="Heading2"/>
        <w:spacing w:before="231"/>
      </w:pPr>
      <w:r w:rsidRPr="00F11185">
        <w:t>Sending a notification of intention to apply the reporting obligation</w:t>
      </w:r>
      <w:r w:rsidR="004D46C2" w:rsidRPr="00F11185">
        <w:t xml:space="preserve"> exemption</w:t>
      </w:r>
    </w:p>
    <w:p w14:paraId="0F23A5E0" w14:textId="77777777" w:rsidR="00082911" w:rsidRPr="00F11185" w:rsidRDefault="00082911">
      <w:pPr>
        <w:pStyle w:val="BodyText"/>
        <w:spacing w:before="2"/>
        <w:rPr>
          <w:b/>
        </w:rPr>
      </w:pPr>
    </w:p>
    <w:p w14:paraId="559BA9FC" w14:textId="44FAFDFD" w:rsidR="00082911" w:rsidRPr="006E3E9A" w:rsidRDefault="00606E9C" w:rsidP="00606E9C">
      <w:pPr>
        <w:pStyle w:val="ListParagraph"/>
        <w:numPr>
          <w:ilvl w:val="0"/>
          <w:numId w:val="1"/>
        </w:numPr>
        <w:tabs>
          <w:tab w:val="left" w:pos="443"/>
        </w:tabs>
        <w:spacing w:line="264" w:lineRule="exact"/>
        <w:ind w:right="243" w:firstLine="0"/>
        <w:rPr>
          <w:b/>
          <w:bCs/>
          <w:sz w:val="23"/>
        </w:rPr>
      </w:pPr>
      <w:r w:rsidRPr="00F11185">
        <w:rPr>
          <w:sz w:val="23"/>
        </w:rPr>
        <w:t xml:space="preserve">Where </w:t>
      </w:r>
      <w:r w:rsidR="0080336C" w:rsidRPr="00F11185">
        <w:rPr>
          <w:b/>
          <w:bCs/>
          <w:sz w:val="23"/>
        </w:rPr>
        <w:t xml:space="preserve">at least one </w:t>
      </w:r>
      <w:r w:rsidR="004D46C2" w:rsidRPr="00F11185">
        <w:rPr>
          <w:b/>
          <w:bCs/>
          <w:sz w:val="23"/>
        </w:rPr>
        <w:t>of the</w:t>
      </w:r>
      <w:r w:rsidR="002804F7" w:rsidRPr="00F11185">
        <w:rPr>
          <w:b/>
          <w:bCs/>
          <w:sz w:val="23"/>
        </w:rPr>
        <w:t xml:space="preserve"> counterparties</w:t>
      </w:r>
      <w:r w:rsidR="002804F7" w:rsidRPr="00F11185">
        <w:rPr>
          <w:sz w:val="23"/>
        </w:rPr>
        <w:t xml:space="preserve"> claiming the</w:t>
      </w:r>
      <w:r w:rsidR="007159AF" w:rsidRPr="00F11185">
        <w:rPr>
          <w:sz w:val="23"/>
        </w:rPr>
        <w:t xml:space="preserve"> reporting obligation exemption for intragroup derivative transactions</w:t>
      </w:r>
      <w:r w:rsidR="002804F7" w:rsidRPr="00F11185">
        <w:rPr>
          <w:sz w:val="23"/>
        </w:rPr>
        <w:t xml:space="preserve"> </w:t>
      </w:r>
      <w:r w:rsidR="0080336C" w:rsidRPr="00F11185">
        <w:rPr>
          <w:sz w:val="23"/>
        </w:rPr>
        <w:t xml:space="preserve">is </w:t>
      </w:r>
      <w:r w:rsidR="0080336C" w:rsidRPr="00F11185">
        <w:rPr>
          <w:b/>
          <w:bCs/>
          <w:sz w:val="23"/>
        </w:rPr>
        <w:t>a non-financial counterparty</w:t>
      </w:r>
      <w:r w:rsidR="0080336C" w:rsidRPr="00F11185">
        <w:rPr>
          <w:sz w:val="23"/>
        </w:rPr>
        <w:t xml:space="preserve">, </w:t>
      </w:r>
      <w:r w:rsidRPr="00F11185">
        <w:rPr>
          <w:sz w:val="23"/>
        </w:rPr>
        <w:t>counterparties established</w:t>
      </w:r>
      <w:r w:rsidR="0080336C" w:rsidRPr="00F11185">
        <w:rPr>
          <w:sz w:val="23"/>
        </w:rPr>
        <w:t xml:space="preserve"> in Slovak</w:t>
      </w:r>
      <w:r w:rsidR="004D46C2" w:rsidRPr="00F11185">
        <w:rPr>
          <w:sz w:val="23"/>
        </w:rPr>
        <w:t>ia</w:t>
      </w:r>
      <w:r w:rsidR="0080336C" w:rsidRPr="00F11185">
        <w:rPr>
          <w:sz w:val="23"/>
        </w:rPr>
        <w:t xml:space="preserve"> </w:t>
      </w:r>
      <w:r w:rsidRPr="00F11185">
        <w:rPr>
          <w:sz w:val="23"/>
        </w:rPr>
        <w:t xml:space="preserve">that </w:t>
      </w:r>
      <w:r w:rsidR="004D46C2" w:rsidRPr="00F11185">
        <w:rPr>
          <w:sz w:val="23"/>
        </w:rPr>
        <w:t>meet</w:t>
      </w:r>
      <w:r w:rsidR="0080336C" w:rsidRPr="00F11185">
        <w:rPr>
          <w:sz w:val="23"/>
        </w:rPr>
        <w:t xml:space="preserve"> the conditions for </w:t>
      </w:r>
      <w:r w:rsidRPr="00F11185">
        <w:rPr>
          <w:sz w:val="23"/>
        </w:rPr>
        <w:t xml:space="preserve">the application </w:t>
      </w:r>
      <w:r w:rsidR="00664859" w:rsidRPr="00F11185">
        <w:rPr>
          <w:sz w:val="23"/>
        </w:rPr>
        <w:t xml:space="preserve">of </w:t>
      </w:r>
      <w:r w:rsidR="0080336C" w:rsidRPr="00F11185">
        <w:rPr>
          <w:sz w:val="23"/>
        </w:rPr>
        <w:t xml:space="preserve">the reporting obligation </w:t>
      </w:r>
      <w:r w:rsidR="004D46C2" w:rsidRPr="00F11185">
        <w:rPr>
          <w:sz w:val="23"/>
        </w:rPr>
        <w:t>exemption for</w:t>
      </w:r>
      <w:r w:rsidR="0080336C" w:rsidRPr="00F11185">
        <w:rPr>
          <w:sz w:val="23"/>
        </w:rPr>
        <w:t xml:space="preserve"> </w:t>
      </w:r>
      <w:r w:rsidR="00463500" w:rsidRPr="00F11185">
        <w:rPr>
          <w:sz w:val="23"/>
        </w:rPr>
        <w:t xml:space="preserve">intragroup </w:t>
      </w:r>
      <w:r w:rsidR="0080336C" w:rsidRPr="00F11185">
        <w:rPr>
          <w:sz w:val="23"/>
        </w:rPr>
        <w:t xml:space="preserve">derivative transactions </w:t>
      </w:r>
      <w:r w:rsidR="004D46C2" w:rsidRPr="006E3E9A">
        <w:rPr>
          <w:b/>
          <w:bCs/>
          <w:sz w:val="23"/>
        </w:rPr>
        <w:t>must</w:t>
      </w:r>
      <w:r w:rsidR="0080336C" w:rsidRPr="006E3E9A">
        <w:rPr>
          <w:b/>
          <w:bCs/>
        </w:rPr>
        <w:t xml:space="preserve"> </w:t>
      </w:r>
      <w:r w:rsidRPr="006E3E9A">
        <w:rPr>
          <w:b/>
          <w:bCs/>
        </w:rPr>
        <w:t xml:space="preserve">notify </w:t>
      </w:r>
      <w:r w:rsidR="0080336C" w:rsidRPr="006E3E9A">
        <w:rPr>
          <w:b/>
          <w:bCs/>
        </w:rPr>
        <w:t>NBS</w:t>
      </w:r>
      <w:r w:rsidR="0080336C" w:rsidRPr="00F11185">
        <w:t xml:space="preserve"> </w:t>
      </w:r>
      <w:r w:rsidRPr="006E3E9A">
        <w:rPr>
          <w:b/>
          <w:bCs/>
        </w:rPr>
        <w:t>in writing</w:t>
      </w:r>
      <w:r w:rsidRPr="00F11185">
        <w:t xml:space="preserve"> </w:t>
      </w:r>
      <w:r w:rsidRPr="006E3E9A">
        <w:rPr>
          <w:b/>
          <w:bCs/>
        </w:rPr>
        <w:t xml:space="preserve">that they intend </w:t>
      </w:r>
      <w:r w:rsidR="0080336C" w:rsidRPr="006E3E9A">
        <w:rPr>
          <w:b/>
          <w:bCs/>
        </w:rPr>
        <w:t xml:space="preserve">to </w:t>
      </w:r>
      <w:r w:rsidR="004D46C2" w:rsidRPr="006E3E9A">
        <w:rPr>
          <w:b/>
          <w:bCs/>
        </w:rPr>
        <w:t>apply</w:t>
      </w:r>
      <w:r w:rsidRPr="006E3E9A">
        <w:rPr>
          <w:b/>
          <w:bCs/>
        </w:rPr>
        <w:t xml:space="preserve"> </w:t>
      </w:r>
      <w:r w:rsidR="00664859" w:rsidRPr="006E3E9A">
        <w:rPr>
          <w:b/>
          <w:bCs/>
        </w:rPr>
        <w:t xml:space="preserve">the </w:t>
      </w:r>
      <w:r w:rsidR="004D46C2" w:rsidRPr="006E3E9A">
        <w:rPr>
          <w:b/>
          <w:bCs/>
        </w:rPr>
        <w:t xml:space="preserve">exemption </w:t>
      </w:r>
      <w:r w:rsidRPr="006E3E9A">
        <w:rPr>
          <w:b/>
          <w:bCs/>
          <w:sz w:val="23"/>
        </w:rPr>
        <w:t xml:space="preserve">by </w:t>
      </w:r>
      <w:r w:rsidR="004D46C2" w:rsidRPr="006E3E9A">
        <w:rPr>
          <w:b/>
          <w:bCs/>
          <w:sz w:val="23"/>
        </w:rPr>
        <w:t>completing</w:t>
      </w:r>
      <w:r w:rsidRPr="006E3E9A">
        <w:rPr>
          <w:b/>
          <w:bCs/>
          <w:sz w:val="23"/>
        </w:rPr>
        <w:t xml:space="preserve"> the template</w:t>
      </w:r>
      <w:r w:rsidR="0080336C" w:rsidRPr="006E3E9A">
        <w:rPr>
          <w:b/>
          <w:bCs/>
          <w:sz w:val="23"/>
        </w:rPr>
        <w:t xml:space="preserve"> (Annex 1</w:t>
      </w:r>
      <w:r w:rsidR="0080336C" w:rsidRPr="00F11185">
        <w:rPr>
          <w:sz w:val="23"/>
        </w:rPr>
        <w:t xml:space="preserve">) </w:t>
      </w:r>
      <w:r w:rsidRPr="00F11185">
        <w:rPr>
          <w:sz w:val="23"/>
        </w:rPr>
        <w:t xml:space="preserve">and </w:t>
      </w:r>
      <w:r w:rsidRPr="006E3E9A">
        <w:rPr>
          <w:b/>
          <w:bCs/>
          <w:sz w:val="23"/>
        </w:rPr>
        <w:t xml:space="preserve">sending it </w:t>
      </w:r>
      <w:r w:rsidR="0080336C" w:rsidRPr="006E3E9A">
        <w:rPr>
          <w:b/>
          <w:bCs/>
          <w:sz w:val="23"/>
        </w:rPr>
        <w:t xml:space="preserve">to the </w:t>
      </w:r>
      <w:r w:rsidRPr="006E3E9A">
        <w:rPr>
          <w:b/>
          <w:bCs/>
          <w:sz w:val="23"/>
        </w:rPr>
        <w:t xml:space="preserve">following </w:t>
      </w:r>
      <w:r w:rsidR="0080336C" w:rsidRPr="006E3E9A">
        <w:rPr>
          <w:b/>
          <w:bCs/>
          <w:sz w:val="23"/>
        </w:rPr>
        <w:t>address:</w:t>
      </w:r>
    </w:p>
    <w:p w14:paraId="4FD5096E" w14:textId="3DB43EF1" w:rsidR="00082911" w:rsidRPr="006E3E9A" w:rsidRDefault="00082911">
      <w:pPr>
        <w:pStyle w:val="BodyText"/>
        <w:spacing w:before="1"/>
        <w:rPr>
          <w:b/>
          <w:bCs/>
        </w:rPr>
      </w:pPr>
    </w:p>
    <w:p w14:paraId="06BCC03F" w14:textId="77777777" w:rsidR="002804F7" w:rsidRPr="00F11185" w:rsidRDefault="002804F7">
      <w:pPr>
        <w:pStyle w:val="BodyText"/>
        <w:spacing w:before="1"/>
      </w:pPr>
    </w:p>
    <w:p w14:paraId="3AD7957B" w14:textId="77777777" w:rsidR="00082911" w:rsidRPr="00F11185" w:rsidRDefault="0080336C">
      <w:pPr>
        <w:pStyle w:val="BodyText"/>
        <w:spacing w:line="264" w:lineRule="exact"/>
        <w:ind w:left="116"/>
      </w:pPr>
      <w:r w:rsidRPr="00F11185">
        <w:t>Národná banka Slovenska</w:t>
      </w:r>
    </w:p>
    <w:p w14:paraId="0BB7DBEB" w14:textId="77777777" w:rsidR="003660C6" w:rsidRPr="00F11185" w:rsidRDefault="0080336C" w:rsidP="003660C6">
      <w:pPr>
        <w:pStyle w:val="BodyText"/>
        <w:ind w:left="116" w:right="111"/>
      </w:pPr>
      <w:proofErr w:type="spellStart"/>
      <w:r w:rsidRPr="00F11185">
        <w:t>Útvar</w:t>
      </w:r>
      <w:proofErr w:type="spellEnd"/>
      <w:r w:rsidRPr="00F11185">
        <w:t xml:space="preserve"> </w:t>
      </w:r>
      <w:proofErr w:type="spellStart"/>
      <w:r w:rsidRPr="00F11185">
        <w:t>dohľadu</w:t>
      </w:r>
      <w:proofErr w:type="spellEnd"/>
      <w:r w:rsidRPr="00F11185">
        <w:t xml:space="preserve"> </w:t>
      </w:r>
      <w:proofErr w:type="spellStart"/>
      <w:r w:rsidRPr="00F11185">
        <w:t>nad</w:t>
      </w:r>
      <w:proofErr w:type="spellEnd"/>
      <w:r w:rsidRPr="00F11185">
        <w:t xml:space="preserve"> </w:t>
      </w:r>
      <w:proofErr w:type="spellStart"/>
      <w:r w:rsidRPr="00F11185">
        <w:t>finančným</w:t>
      </w:r>
      <w:proofErr w:type="spellEnd"/>
      <w:r w:rsidRPr="00F11185">
        <w:t xml:space="preserve"> </w:t>
      </w:r>
      <w:proofErr w:type="spellStart"/>
      <w:r w:rsidRPr="00F11185">
        <w:t>trhom</w:t>
      </w:r>
      <w:proofErr w:type="spellEnd"/>
    </w:p>
    <w:p w14:paraId="7B8E6553" w14:textId="277C6DB6" w:rsidR="00082911" w:rsidRPr="00F11185" w:rsidRDefault="0080336C" w:rsidP="003660C6">
      <w:pPr>
        <w:pStyle w:val="BodyText"/>
        <w:ind w:left="116" w:right="111"/>
      </w:pPr>
      <w:r w:rsidRPr="00F11185">
        <w:t>Imricha Karvaša 1</w:t>
      </w:r>
    </w:p>
    <w:p w14:paraId="20D21299" w14:textId="77777777" w:rsidR="00082911" w:rsidRPr="00F11185" w:rsidRDefault="0080336C">
      <w:pPr>
        <w:pStyle w:val="BodyText"/>
        <w:spacing w:line="264" w:lineRule="exact"/>
        <w:ind w:left="116"/>
      </w:pPr>
      <w:r w:rsidRPr="00F11185">
        <w:t>813 25 Bratislava</w:t>
      </w:r>
    </w:p>
    <w:p w14:paraId="36202B5C" w14:textId="77777777" w:rsidR="00082911" w:rsidRPr="00F11185" w:rsidRDefault="00082911">
      <w:pPr>
        <w:pStyle w:val="BodyText"/>
        <w:rPr>
          <w:sz w:val="26"/>
        </w:rPr>
      </w:pPr>
    </w:p>
    <w:p w14:paraId="0B2C2F9B" w14:textId="16443C74" w:rsidR="00082911" w:rsidRPr="00F11185" w:rsidRDefault="0080336C">
      <w:pPr>
        <w:pStyle w:val="ListParagraph"/>
        <w:numPr>
          <w:ilvl w:val="0"/>
          <w:numId w:val="1"/>
        </w:numPr>
        <w:tabs>
          <w:tab w:val="left" w:pos="443"/>
        </w:tabs>
        <w:spacing w:before="231"/>
        <w:ind w:left="442" w:hanging="326"/>
        <w:rPr>
          <w:sz w:val="23"/>
        </w:rPr>
      </w:pPr>
      <w:r w:rsidRPr="00F11185">
        <w:rPr>
          <w:sz w:val="23"/>
        </w:rPr>
        <w:t xml:space="preserve">Notifications pursuant to Example 1 </w:t>
      </w:r>
      <w:r w:rsidR="007159AF" w:rsidRPr="00F11185">
        <w:rPr>
          <w:sz w:val="23"/>
        </w:rPr>
        <w:t xml:space="preserve">and 3 </w:t>
      </w:r>
      <w:r w:rsidRPr="00F11185">
        <w:rPr>
          <w:sz w:val="23"/>
        </w:rPr>
        <w:t xml:space="preserve">above </w:t>
      </w:r>
      <w:r w:rsidR="004D46C2" w:rsidRPr="00F11185">
        <w:rPr>
          <w:sz w:val="23"/>
        </w:rPr>
        <w:t>must</w:t>
      </w:r>
      <w:r w:rsidRPr="00F11185">
        <w:rPr>
          <w:sz w:val="23"/>
        </w:rPr>
        <w:t xml:space="preserve"> be sent in Slovak.</w:t>
      </w:r>
    </w:p>
    <w:p w14:paraId="392B1637" w14:textId="77777777" w:rsidR="00082911" w:rsidRPr="00F11185" w:rsidRDefault="00082911">
      <w:pPr>
        <w:pStyle w:val="BodyText"/>
        <w:spacing w:before="10"/>
        <w:rPr>
          <w:sz w:val="22"/>
        </w:rPr>
      </w:pPr>
    </w:p>
    <w:p w14:paraId="45000BB4" w14:textId="1412A255" w:rsidR="00082911" w:rsidRPr="00F11185" w:rsidRDefault="0080336C">
      <w:pPr>
        <w:pStyle w:val="ListParagraph"/>
        <w:numPr>
          <w:ilvl w:val="0"/>
          <w:numId w:val="1"/>
        </w:numPr>
        <w:tabs>
          <w:tab w:val="left" w:pos="443"/>
        </w:tabs>
        <w:ind w:left="442" w:hanging="326"/>
        <w:rPr>
          <w:sz w:val="23"/>
        </w:rPr>
      </w:pPr>
      <w:r w:rsidRPr="00F11185">
        <w:rPr>
          <w:sz w:val="23"/>
        </w:rPr>
        <w:t xml:space="preserve">Notifications pursuant to Examples 2 above </w:t>
      </w:r>
      <w:r w:rsidR="00664859" w:rsidRPr="00F11185">
        <w:rPr>
          <w:sz w:val="23"/>
        </w:rPr>
        <w:t>must</w:t>
      </w:r>
      <w:r w:rsidRPr="00F11185">
        <w:rPr>
          <w:sz w:val="23"/>
        </w:rPr>
        <w:t xml:space="preserve"> be sent in both Slovak and English.</w:t>
      </w:r>
    </w:p>
    <w:p w14:paraId="2DCDDC6C" w14:textId="77777777" w:rsidR="00082911" w:rsidRPr="00F11185" w:rsidRDefault="00082911">
      <w:pPr>
        <w:pStyle w:val="BodyText"/>
        <w:spacing w:before="2"/>
      </w:pPr>
    </w:p>
    <w:p w14:paraId="4D8DE184" w14:textId="47D62AC8" w:rsidR="00082911" w:rsidRPr="00F11185" w:rsidRDefault="00664859">
      <w:pPr>
        <w:pStyle w:val="ListParagraph"/>
        <w:numPr>
          <w:ilvl w:val="0"/>
          <w:numId w:val="1"/>
        </w:numPr>
        <w:tabs>
          <w:tab w:val="left" w:pos="443"/>
        </w:tabs>
        <w:ind w:left="442" w:hanging="326"/>
        <w:rPr>
          <w:sz w:val="23"/>
        </w:rPr>
      </w:pPr>
      <w:r w:rsidRPr="00F11185">
        <w:rPr>
          <w:sz w:val="23"/>
        </w:rPr>
        <w:t>The t</w:t>
      </w:r>
      <w:r w:rsidR="0080336C" w:rsidRPr="00F11185">
        <w:rPr>
          <w:sz w:val="23"/>
        </w:rPr>
        <w:t>emplate</w:t>
      </w:r>
      <w:r w:rsidR="00606E9C" w:rsidRPr="00F11185">
        <w:rPr>
          <w:sz w:val="23"/>
        </w:rPr>
        <w:t xml:space="preserve"> for</w:t>
      </w:r>
      <w:r w:rsidR="0080336C" w:rsidRPr="00F11185">
        <w:rPr>
          <w:sz w:val="23"/>
        </w:rPr>
        <w:t xml:space="preserve"> </w:t>
      </w:r>
      <w:r w:rsidR="0052453F" w:rsidRPr="00F11185">
        <w:rPr>
          <w:sz w:val="23"/>
        </w:rPr>
        <w:t xml:space="preserve">the </w:t>
      </w:r>
      <w:r w:rsidR="0080336C" w:rsidRPr="00F11185">
        <w:rPr>
          <w:sz w:val="23"/>
        </w:rPr>
        <w:t xml:space="preserve">notification pursuant to Examples 1 to 3 </w:t>
      </w:r>
      <w:r w:rsidR="004D46C2" w:rsidRPr="00F11185">
        <w:rPr>
          <w:sz w:val="23"/>
        </w:rPr>
        <w:t xml:space="preserve">is given </w:t>
      </w:r>
      <w:r w:rsidR="0080336C" w:rsidRPr="00F11185">
        <w:rPr>
          <w:sz w:val="23"/>
        </w:rPr>
        <w:t>in Annex 1.</w:t>
      </w:r>
    </w:p>
    <w:p w14:paraId="57116D54" w14:textId="77777777" w:rsidR="00082911" w:rsidRPr="00F11185" w:rsidRDefault="00082911">
      <w:pPr>
        <w:pStyle w:val="BodyText"/>
        <w:spacing w:before="10"/>
        <w:rPr>
          <w:sz w:val="22"/>
        </w:rPr>
      </w:pPr>
    </w:p>
    <w:p w14:paraId="4745180D" w14:textId="60A53EB1" w:rsidR="00082911" w:rsidRPr="00F11185" w:rsidRDefault="0080336C" w:rsidP="003660C6">
      <w:pPr>
        <w:pStyle w:val="ListParagraph"/>
        <w:numPr>
          <w:ilvl w:val="0"/>
          <w:numId w:val="1"/>
        </w:numPr>
        <w:tabs>
          <w:tab w:val="left" w:pos="443"/>
        </w:tabs>
        <w:ind w:left="442" w:hanging="326"/>
        <w:rPr>
          <w:sz w:val="23"/>
        </w:rPr>
        <w:sectPr w:rsidR="00082911" w:rsidRPr="00F11185" w:rsidSect="007E1A28">
          <w:pgSz w:w="11910" w:h="16840"/>
          <w:pgMar w:top="1440" w:right="1080" w:bottom="1440" w:left="1080" w:header="708" w:footer="708" w:gutter="0"/>
          <w:cols w:space="708"/>
          <w:docGrid w:linePitch="299"/>
        </w:sectPr>
      </w:pPr>
      <w:r w:rsidRPr="00F11185">
        <w:rPr>
          <w:sz w:val="23"/>
        </w:rPr>
        <w:t xml:space="preserve">Instructions for completing selected fields in the </w:t>
      </w:r>
      <w:r w:rsidR="00606E9C" w:rsidRPr="00F11185">
        <w:rPr>
          <w:sz w:val="23"/>
        </w:rPr>
        <w:t xml:space="preserve">notification </w:t>
      </w:r>
      <w:r w:rsidRPr="00F11185">
        <w:rPr>
          <w:sz w:val="23"/>
        </w:rPr>
        <w:t xml:space="preserve">template </w:t>
      </w:r>
      <w:r w:rsidR="004D46C2" w:rsidRPr="00F11185">
        <w:rPr>
          <w:sz w:val="23"/>
        </w:rPr>
        <w:t>are given</w:t>
      </w:r>
      <w:r w:rsidRPr="00F11185">
        <w:rPr>
          <w:sz w:val="23"/>
        </w:rPr>
        <w:t xml:space="preserve"> in A</w:t>
      </w:r>
      <w:r w:rsidR="003660C6" w:rsidRPr="00F11185">
        <w:rPr>
          <w:sz w:val="23"/>
        </w:rPr>
        <w:t>nn</w:t>
      </w:r>
      <w:r w:rsidRPr="00F11185">
        <w:rPr>
          <w:sz w:val="23"/>
        </w:rPr>
        <w:t>ex 2.</w:t>
      </w:r>
    </w:p>
    <w:p w14:paraId="40B874E7" w14:textId="77777777" w:rsidR="00082911" w:rsidRPr="00F11185" w:rsidRDefault="0080336C">
      <w:pPr>
        <w:pStyle w:val="Heading2"/>
        <w:spacing w:before="76"/>
      </w:pPr>
      <w:r w:rsidRPr="00F11185">
        <w:lastRenderedPageBreak/>
        <w:t>ANNEXES:</w:t>
      </w:r>
    </w:p>
    <w:p w14:paraId="7F699503" w14:textId="77777777" w:rsidR="00082911" w:rsidRPr="00F11185" w:rsidRDefault="00082911">
      <w:pPr>
        <w:pStyle w:val="BodyText"/>
        <w:spacing w:before="2"/>
        <w:rPr>
          <w:b/>
        </w:rPr>
      </w:pPr>
    </w:p>
    <w:p w14:paraId="10867ECA" w14:textId="0578BADF" w:rsidR="00082911" w:rsidRPr="00F11185" w:rsidRDefault="0080336C">
      <w:pPr>
        <w:spacing w:line="264" w:lineRule="exact"/>
        <w:ind w:left="116"/>
        <w:rPr>
          <w:b/>
          <w:bCs/>
          <w:sz w:val="23"/>
        </w:rPr>
      </w:pPr>
      <w:r w:rsidRPr="00F11185">
        <w:rPr>
          <w:b/>
          <w:bCs/>
          <w:sz w:val="23"/>
        </w:rPr>
        <w:t>Annex 1:</w:t>
      </w:r>
    </w:p>
    <w:p w14:paraId="12BAD80A" w14:textId="7EDF8BD4" w:rsidR="00082911" w:rsidRPr="00F11185" w:rsidRDefault="00606E9C" w:rsidP="0046528A">
      <w:pPr>
        <w:pStyle w:val="BodyText"/>
        <w:ind w:left="116" w:right="276"/>
        <w:jc w:val="both"/>
      </w:pPr>
      <w:r w:rsidRPr="00F11185">
        <w:t xml:space="preserve">Template for </w:t>
      </w:r>
      <w:r w:rsidR="004D46C2" w:rsidRPr="00F11185">
        <w:t xml:space="preserve">the </w:t>
      </w:r>
      <w:r w:rsidR="0080336C" w:rsidRPr="00F11185">
        <w:t xml:space="preserve">notification of the intention to </w:t>
      </w:r>
      <w:r w:rsidR="004D46C2" w:rsidRPr="00F11185">
        <w:t>apply</w:t>
      </w:r>
      <w:r w:rsidR="0080336C" w:rsidRPr="00F11185">
        <w:t xml:space="preserve"> the </w:t>
      </w:r>
      <w:r w:rsidRPr="00F11185">
        <w:t xml:space="preserve">reporting </w:t>
      </w:r>
      <w:r w:rsidR="0080336C" w:rsidRPr="00F11185">
        <w:t xml:space="preserve">obligation </w:t>
      </w:r>
      <w:r w:rsidR="004D46C2" w:rsidRPr="00F11185">
        <w:t>exemption for</w:t>
      </w:r>
      <w:r w:rsidRPr="00F11185">
        <w:t xml:space="preserve"> intragroup transactions </w:t>
      </w:r>
      <w:r w:rsidR="00C13FFE" w:rsidRPr="00F11185">
        <w:t>pursuant to</w:t>
      </w:r>
      <w:r w:rsidR="0080336C" w:rsidRPr="00F11185">
        <w:t xml:space="preserve"> Article</w:t>
      </w:r>
      <w:r w:rsidR="00F11185" w:rsidRPr="00F11185">
        <w:t xml:space="preserve"> 9(1) of EMIR as amended by</w:t>
      </w:r>
      <w:r w:rsidR="0080336C" w:rsidRPr="00F11185">
        <w:t xml:space="preserve"> EMIR Refit </w:t>
      </w:r>
    </w:p>
    <w:p w14:paraId="24FEA424" w14:textId="77777777" w:rsidR="00082911" w:rsidRPr="00F11185" w:rsidRDefault="00082911">
      <w:pPr>
        <w:pStyle w:val="BodyText"/>
        <w:spacing w:before="1"/>
      </w:pPr>
    </w:p>
    <w:p w14:paraId="57EBCEDF" w14:textId="7E8D1DCF" w:rsidR="00082911" w:rsidRPr="00F11185" w:rsidRDefault="0080336C">
      <w:pPr>
        <w:pStyle w:val="Heading2"/>
        <w:rPr>
          <w:b w:val="0"/>
        </w:rPr>
      </w:pPr>
      <w:r w:rsidRPr="00F11185">
        <w:t>Annex 2:</w:t>
      </w:r>
    </w:p>
    <w:p w14:paraId="0C6C1A08" w14:textId="18D51583" w:rsidR="00082911" w:rsidRPr="003660C6" w:rsidRDefault="0080336C">
      <w:pPr>
        <w:pStyle w:val="BodyText"/>
        <w:spacing w:before="21"/>
        <w:ind w:left="116"/>
      </w:pPr>
      <w:r w:rsidRPr="00F11185">
        <w:t xml:space="preserve">Instructions for completing selected fields in the </w:t>
      </w:r>
      <w:r w:rsidR="0052453F" w:rsidRPr="00F11185">
        <w:t xml:space="preserve">notification </w:t>
      </w:r>
      <w:r w:rsidRPr="00F11185">
        <w:t>template</w:t>
      </w:r>
    </w:p>
    <w:sectPr w:rsidR="00082911" w:rsidRPr="003660C6" w:rsidSect="007E1A28">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E776" w14:textId="77777777" w:rsidR="00DD3012" w:rsidRDefault="00DD3012" w:rsidP="00CB7CBC">
      <w:r>
        <w:separator/>
      </w:r>
    </w:p>
  </w:endnote>
  <w:endnote w:type="continuationSeparator" w:id="0">
    <w:p w14:paraId="068173FA" w14:textId="77777777" w:rsidR="00DD3012" w:rsidRDefault="00DD3012" w:rsidP="00CB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A100" w14:textId="77777777" w:rsidR="00DD3012" w:rsidRDefault="00DD3012" w:rsidP="00CB7CBC">
      <w:r>
        <w:separator/>
      </w:r>
    </w:p>
  </w:footnote>
  <w:footnote w:type="continuationSeparator" w:id="0">
    <w:p w14:paraId="6D531B2C" w14:textId="77777777" w:rsidR="00DD3012" w:rsidRDefault="00DD3012" w:rsidP="00CB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27"/>
    <w:multiLevelType w:val="hybridMultilevel"/>
    <w:tmpl w:val="E34457EC"/>
    <w:lvl w:ilvl="0" w:tplc="3B3849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C06D76"/>
    <w:multiLevelType w:val="hybridMultilevel"/>
    <w:tmpl w:val="2A6E2EDC"/>
    <w:lvl w:ilvl="0" w:tplc="3A4E4B60">
      <w:start w:val="1"/>
      <w:numFmt w:val="decimal"/>
      <w:lvlText w:val="(%1)"/>
      <w:lvlJc w:val="left"/>
      <w:pPr>
        <w:ind w:left="476" w:hanging="360"/>
      </w:pPr>
      <w:rPr>
        <w:rFonts w:ascii="Times New Roman" w:eastAsia="Times New Roman" w:hAnsi="Times New Roman" w:cs="Times New Roman" w:hint="default"/>
        <w:w w:val="100"/>
        <w:sz w:val="23"/>
        <w:szCs w:val="23"/>
        <w:lang w:val="sk" w:eastAsia="sk" w:bidi="sk"/>
      </w:rPr>
    </w:lvl>
    <w:lvl w:ilvl="1" w:tplc="0FF8E188">
      <w:start w:val="1"/>
      <w:numFmt w:val="lowerLetter"/>
      <w:lvlText w:val="%2)"/>
      <w:lvlJc w:val="left"/>
      <w:pPr>
        <w:ind w:left="836" w:hanging="360"/>
      </w:pPr>
      <w:rPr>
        <w:rFonts w:hint="default"/>
        <w:w w:val="100"/>
        <w:lang w:val="sk" w:eastAsia="sk" w:bidi="sk"/>
      </w:rPr>
    </w:lvl>
    <w:lvl w:ilvl="2" w:tplc="D772C3CA">
      <w:numFmt w:val="bullet"/>
      <w:lvlText w:val="•"/>
      <w:lvlJc w:val="left"/>
      <w:pPr>
        <w:ind w:left="840" w:hanging="360"/>
      </w:pPr>
      <w:rPr>
        <w:rFonts w:hint="default"/>
        <w:lang w:val="sk" w:eastAsia="sk" w:bidi="sk"/>
      </w:rPr>
    </w:lvl>
    <w:lvl w:ilvl="3" w:tplc="AF2830C2">
      <w:numFmt w:val="bullet"/>
      <w:lvlText w:val="•"/>
      <w:lvlJc w:val="left"/>
      <w:pPr>
        <w:ind w:left="1898" w:hanging="360"/>
      </w:pPr>
      <w:rPr>
        <w:rFonts w:hint="default"/>
        <w:lang w:val="sk" w:eastAsia="sk" w:bidi="sk"/>
      </w:rPr>
    </w:lvl>
    <w:lvl w:ilvl="4" w:tplc="DE481168">
      <w:numFmt w:val="bullet"/>
      <w:lvlText w:val="•"/>
      <w:lvlJc w:val="left"/>
      <w:pPr>
        <w:ind w:left="2956" w:hanging="360"/>
      </w:pPr>
      <w:rPr>
        <w:rFonts w:hint="default"/>
        <w:lang w:val="sk" w:eastAsia="sk" w:bidi="sk"/>
      </w:rPr>
    </w:lvl>
    <w:lvl w:ilvl="5" w:tplc="0FD49052">
      <w:numFmt w:val="bullet"/>
      <w:lvlText w:val="•"/>
      <w:lvlJc w:val="left"/>
      <w:pPr>
        <w:ind w:left="4014" w:hanging="360"/>
      </w:pPr>
      <w:rPr>
        <w:rFonts w:hint="default"/>
        <w:lang w:val="sk" w:eastAsia="sk" w:bidi="sk"/>
      </w:rPr>
    </w:lvl>
    <w:lvl w:ilvl="6" w:tplc="23E8D328">
      <w:numFmt w:val="bullet"/>
      <w:lvlText w:val="•"/>
      <w:lvlJc w:val="left"/>
      <w:pPr>
        <w:ind w:left="5073" w:hanging="360"/>
      </w:pPr>
      <w:rPr>
        <w:rFonts w:hint="default"/>
        <w:lang w:val="sk" w:eastAsia="sk" w:bidi="sk"/>
      </w:rPr>
    </w:lvl>
    <w:lvl w:ilvl="7" w:tplc="61D6D0DE">
      <w:numFmt w:val="bullet"/>
      <w:lvlText w:val="•"/>
      <w:lvlJc w:val="left"/>
      <w:pPr>
        <w:ind w:left="6131" w:hanging="360"/>
      </w:pPr>
      <w:rPr>
        <w:rFonts w:hint="default"/>
        <w:lang w:val="sk" w:eastAsia="sk" w:bidi="sk"/>
      </w:rPr>
    </w:lvl>
    <w:lvl w:ilvl="8" w:tplc="91620984">
      <w:numFmt w:val="bullet"/>
      <w:lvlText w:val="•"/>
      <w:lvlJc w:val="left"/>
      <w:pPr>
        <w:ind w:left="7189" w:hanging="360"/>
      </w:pPr>
      <w:rPr>
        <w:rFonts w:hint="default"/>
        <w:lang w:val="sk" w:eastAsia="sk" w:bidi="sk"/>
      </w:rPr>
    </w:lvl>
  </w:abstractNum>
  <w:abstractNum w:abstractNumId="2" w15:restartNumberingAfterBreak="0">
    <w:nsid w:val="16364DC5"/>
    <w:multiLevelType w:val="hybridMultilevel"/>
    <w:tmpl w:val="245C2476"/>
    <w:lvl w:ilvl="0" w:tplc="041B0017">
      <w:start w:val="1"/>
      <w:numFmt w:val="lowerLetter"/>
      <w:lvlText w:val="%1)"/>
      <w:lvlJc w:val="left"/>
      <w:pPr>
        <w:ind w:left="720" w:hanging="360"/>
      </w:pPr>
      <w:rPr>
        <w:rFonts w:hint="default"/>
      </w:rPr>
    </w:lvl>
    <w:lvl w:ilvl="1" w:tplc="22EAE14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B97E01"/>
    <w:multiLevelType w:val="hybridMultilevel"/>
    <w:tmpl w:val="75E40C64"/>
    <w:lvl w:ilvl="0" w:tplc="A792FCA6">
      <w:start w:val="1"/>
      <w:numFmt w:val="decimal"/>
      <w:lvlText w:val="(%1)"/>
      <w:lvlJc w:val="left"/>
      <w:pPr>
        <w:ind w:left="116" w:hanging="327"/>
      </w:pPr>
      <w:rPr>
        <w:rFonts w:ascii="Times New Roman" w:eastAsia="Times New Roman" w:hAnsi="Times New Roman" w:cs="Times New Roman" w:hint="default"/>
        <w:w w:val="100"/>
        <w:sz w:val="23"/>
        <w:szCs w:val="23"/>
        <w:lang w:val="sk" w:eastAsia="sk" w:bidi="sk"/>
      </w:rPr>
    </w:lvl>
    <w:lvl w:ilvl="1" w:tplc="FC0E6A6E">
      <w:numFmt w:val="bullet"/>
      <w:lvlText w:val="•"/>
      <w:lvlJc w:val="left"/>
      <w:pPr>
        <w:ind w:left="1038" w:hanging="327"/>
      </w:pPr>
      <w:rPr>
        <w:rFonts w:hint="default"/>
        <w:lang w:val="sk" w:eastAsia="sk" w:bidi="sk"/>
      </w:rPr>
    </w:lvl>
    <w:lvl w:ilvl="2" w:tplc="5810C802">
      <w:numFmt w:val="bullet"/>
      <w:lvlText w:val="•"/>
      <w:lvlJc w:val="left"/>
      <w:pPr>
        <w:ind w:left="1957" w:hanging="327"/>
      </w:pPr>
      <w:rPr>
        <w:rFonts w:hint="default"/>
        <w:lang w:val="sk" w:eastAsia="sk" w:bidi="sk"/>
      </w:rPr>
    </w:lvl>
    <w:lvl w:ilvl="3" w:tplc="A214652A">
      <w:numFmt w:val="bullet"/>
      <w:lvlText w:val="•"/>
      <w:lvlJc w:val="left"/>
      <w:pPr>
        <w:ind w:left="2875" w:hanging="327"/>
      </w:pPr>
      <w:rPr>
        <w:rFonts w:hint="default"/>
        <w:lang w:val="sk" w:eastAsia="sk" w:bidi="sk"/>
      </w:rPr>
    </w:lvl>
    <w:lvl w:ilvl="4" w:tplc="992CC662">
      <w:numFmt w:val="bullet"/>
      <w:lvlText w:val="•"/>
      <w:lvlJc w:val="left"/>
      <w:pPr>
        <w:ind w:left="3794" w:hanging="327"/>
      </w:pPr>
      <w:rPr>
        <w:rFonts w:hint="default"/>
        <w:lang w:val="sk" w:eastAsia="sk" w:bidi="sk"/>
      </w:rPr>
    </w:lvl>
    <w:lvl w:ilvl="5" w:tplc="35F437DA">
      <w:numFmt w:val="bullet"/>
      <w:lvlText w:val="•"/>
      <w:lvlJc w:val="left"/>
      <w:pPr>
        <w:ind w:left="4713" w:hanging="327"/>
      </w:pPr>
      <w:rPr>
        <w:rFonts w:hint="default"/>
        <w:lang w:val="sk" w:eastAsia="sk" w:bidi="sk"/>
      </w:rPr>
    </w:lvl>
    <w:lvl w:ilvl="6" w:tplc="358ED5C2">
      <w:numFmt w:val="bullet"/>
      <w:lvlText w:val="•"/>
      <w:lvlJc w:val="left"/>
      <w:pPr>
        <w:ind w:left="5631" w:hanging="327"/>
      </w:pPr>
      <w:rPr>
        <w:rFonts w:hint="default"/>
        <w:lang w:val="sk" w:eastAsia="sk" w:bidi="sk"/>
      </w:rPr>
    </w:lvl>
    <w:lvl w:ilvl="7" w:tplc="FDC07CC2">
      <w:numFmt w:val="bullet"/>
      <w:lvlText w:val="•"/>
      <w:lvlJc w:val="left"/>
      <w:pPr>
        <w:ind w:left="6550" w:hanging="327"/>
      </w:pPr>
      <w:rPr>
        <w:rFonts w:hint="default"/>
        <w:lang w:val="sk" w:eastAsia="sk" w:bidi="sk"/>
      </w:rPr>
    </w:lvl>
    <w:lvl w:ilvl="8" w:tplc="807CA142">
      <w:numFmt w:val="bullet"/>
      <w:lvlText w:val="•"/>
      <w:lvlJc w:val="left"/>
      <w:pPr>
        <w:ind w:left="7469" w:hanging="327"/>
      </w:pPr>
      <w:rPr>
        <w:rFonts w:hint="default"/>
        <w:lang w:val="sk" w:eastAsia="sk" w:bidi="sk"/>
      </w:rPr>
    </w:lvl>
  </w:abstractNum>
  <w:abstractNum w:abstractNumId="4" w15:restartNumberingAfterBreak="0">
    <w:nsid w:val="2AC04958"/>
    <w:multiLevelType w:val="hybridMultilevel"/>
    <w:tmpl w:val="ECA06C90"/>
    <w:lvl w:ilvl="0" w:tplc="52C81CD4">
      <w:start w:val="1"/>
      <w:numFmt w:val="decimal"/>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EB45C8C"/>
    <w:multiLevelType w:val="hybridMultilevel"/>
    <w:tmpl w:val="7F2C28AE"/>
    <w:lvl w:ilvl="0" w:tplc="010A5E08">
      <w:start w:val="1"/>
      <w:numFmt w:val="lowerLetter"/>
      <w:lvlText w:val="%1)"/>
      <w:lvlJc w:val="left"/>
      <w:pPr>
        <w:ind w:left="716" w:hanging="240"/>
      </w:pPr>
      <w:rPr>
        <w:rFonts w:ascii="Times New Roman" w:eastAsia="Times New Roman" w:hAnsi="Times New Roman" w:cs="Times New Roman" w:hint="default"/>
        <w:b/>
        <w:bCs/>
        <w:i/>
        <w:w w:val="100"/>
        <w:sz w:val="22"/>
        <w:szCs w:val="22"/>
        <w:lang w:val="sk" w:eastAsia="sk" w:bidi="sk"/>
      </w:rPr>
    </w:lvl>
    <w:lvl w:ilvl="1" w:tplc="BA3E558C">
      <w:numFmt w:val="bullet"/>
      <w:lvlText w:val="•"/>
      <w:lvlJc w:val="left"/>
      <w:pPr>
        <w:ind w:left="1578" w:hanging="240"/>
      </w:pPr>
      <w:rPr>
        <w:rFonts w:hint="default"/>
        <w:lang w:val="sk" w:eastAsia="sk" w:bidi="sk"/>
      </w:rPr>
    </w:lvl>
    <w:lvl w:ilvl="2" w:tplc="5E3C7D12">
      <w:numFmt w:val="bullet"/>
      <w:lvlText w:val="•"/>
      <w:lvlJc w:val="left"/>
      <w:pPr>
        <w:ind w:left="2437" w:hanging="240"/>
      </w:pPr>
      <w:rPr>
        <w:rFonts w:hint="default"/>
        <w:lang w:val="sk" w:eastAsia="sk" w:bidi="sk"/>
      </w:rPr>
    </w:lvl>
    <w:lvl w:ilvl="3" w:tplc="8F5895F8">
      <w:numFmt w:val="bullet"/>
      <w:lvlText w:val="•"/>
      <w:lvlJc w:val="left"/>
      <w:pPr>
        <w:ind w:left="3295" w:hanging="240"/>
      </w:pPr>
      <w:rPr>
        <w:rFonts w:hint="default"/>
        <w:lang w:val="sk" w:eastAsia="sk" w:bidi="sk"/>
      </w:rPr>
    </w:lvl>
    <w:lvl w:ilvl="4" w:tplc="CA98D862">
      <w:numFmt w:val="bullet"/>
      <w:lvlText w:val="•"/>
      <w:lvlJc w:val="left"/>
      <w:pPr>
        <w:ind w:left="4154" w:hanging="240"/>
      </w:pPr>
      <w:rPr>
        <w:rFonts w:hint="default"/>
        <w:lang w:val="sk" w:eastAsia="sk" w:bidi="sk"/>
      </w:rPr>
    </w:lvl>
    <w:lvl w:ilvl="5" w:tplc="D3B8DDFE">
      <w:numFmt w:val="bullet"/>
      <w:lvlText w:val="•"/>
      <w:lvlJc w:val="left"/>
      <w:pPr>
        <w:ind w:left="5013" w:hanging="240"/>
      </w:pPr>
      <w:rPr>
        <w:rFonts w:hint="default"/>
        <w:lang w:val="sk" w:eastAsia="sk" w:bidi="sk"/>
      </w:rPr>
    </w:lvl>
    <w:lvl w:ilvl="6" w:tplc="F90C0696">
      <w:numFmt w:val="bullet"/>
      <w:lvlText w:val="•"/>
      <w:lvlJc w:val="left"/>
      <w:pPr>
        <w:ind w:left="5871" w:hanging="240"/>
      </w:pPr>
      <w:rPr>
        <w:rFonts w:hint="default"/>
        <w:lang w:val="sk" w:eastAsia="sk" w:bidi="sk"/>
      </w:rPr>
    </w:lvl>
    <w:lvl w:ilvl="7" w:tplc="EE666A04">
      <w:numFmt w:val="bullet"/>
      <w:lvlText w:val="•"/>
      <w:lvlJc w:val="left"/>
      <w:pPr>
        <w:ind w:left="6730" w:hanging="240"/>
      </w:pPr>
      <w:rPr>
        <w:rFonts w:hint="default"/>
        <w:lang w:val="sk" w:eastAsia="sk" w:bidi="sk"/>
      </w:rPr>
    </w:lvl>
    <w:lvl w:ilvl="8" w:tplc="B4EEC37C">
      <w:numFmt w:val="bullet"/>
      <w:lvlText w:val="•"/>
      <w:lvlJc w:val="left"/>
      <w:pPr>
        <w:ind w:left="7589" w:hanging="240"/>
      </w:pPr>
      <w:rPr>
        <w:rFonts w:hint="default"/>
        <w:lang w:val="sk" w:eastAsia="sk" w:bidi="sk"/>
      </w:rPr>
    </w:lvl>
  </w:abstractNum>
  <w:abstractNum w:abstractNumId="6" w15:restartNumberingAfterBreak="0">
    <w:nsid w:val="358F6AC1"/>
    <w:multiLevelType w:val="hybridMultilevel"/>
    <w:tmpl w:val="3EBC162E"/>
    <w:lvl w:ilvl="0" w:tplc="041B0001">
      <w:start w:val="1"/>
      <w:numFmt w:val="bullet"/>
      <w:lvlText w:val=""/>
      <w:lvlJc w:val="left"/>
      <w:pPr>
        <w:ind w:left="720" w:hanging="360"/>
      </w:pPr>
      <w:rPr>
        <w:rFonts w:ascii="Symbol" w:hAnsi="Symbol" w:hint="default"/>
      </w:rPr>
    </w:lvl>
    <w:lvl w:ilvl="1" w:tplc="2F5A020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6490FF2"/>
    <w:multiLevelType w:val="hybridMultilevel"/>
    <w:tmpl w:val="F21CCD3C"/>
    <w:lvl w:ilvl="0" w:tplc="2E4A1718">
      <w:start w:val="1"/>
      <w:numFmt w:val="decimal"/>
      <w:lvlText w:val="(%1)"/>
      <w:lvlJc w:val="left"/>
      <w:pPr>
        <w:ind w:left="476" w:hanging="360"/>
      </w:pPr>
      <w:rPr>
        <w:rFonts w:ascii="Times New Roman" w:eastAsia="Times New Roman" w:hAnsi="Times New Roman" w:cs="Times New Roman" w:hint="default"/>
        <w:w w:val="100"/>
        <w:sz w:val="23"/>
        <w:szCs w:val="23"/>
        <w:lang w:val="sk" w:eastAsia="sk" w:bidi="sk"/>
      </w:rPr>
    </w:lvl>
    <w:lvl w:ilvl="1" w:tplc="6184765A">
      <w:numFmt w:val="bullet"/>
      <w:lvlText w:val="•"/>
      <w:lvlJc w:val="left"/>
      <w:pPr>
        <w:ind w:left="1362" w:hanging="360"/>
      </w:pPr>
      <w:rPr>
        <w:rFonts w:hint="default"/>
        <w:lang w:val="sk" w:eastAsia="sk" w:bidi="sk"/>
      </w:rPr>
    </w:lvl>
    <w:lvl w:ilvl="2" w:tplc="D6786BAA">
      <w:numFmt w:val="bullet"/>
      <w:lvlText w:val="•"/>
      <w:lvlJc w:val="left"/>
      <w:pPr>
        <w:ind w:left="2245" w:hanging="360"/>
      </w:pPr>
      <w:rPr>
        <w:rFonts w:hint="default"/>
        <w:lang w:val="sk" w:eastAsia="sk" w:bidi="sk"/>
      </w:rPr>
    </w:lvl>
    <w:lvl w:ilvl="3" w:tplc="FA16D900">
      <w:numFmt w:val="bullet"/>
      <w:lvlText w:val="•"/>
      <w:lvlJc w:val="left"/>
      <w:pPr>
        <w:ind w:left="3127" w:hanging="360"/>
      </w:pPr>
      <w:rPr>
        <w:rFonts w:hint="default"/>
        <w:lang w:val="sk" w:eastAsia="sk" w:bidi="sk"/>
      </w:rPr>
    </w:lvl>
    <w:lvl w:ilvl="4" w:tplc="980C8238">
      <w:numFmt w:val="bullet"/>
      <w:lvlText w:val="•"/>
      <w:lvlJc w:val="left"/>
      <w:pPr>
        <w:ind w:left="4010" w:hanging="360"/>
      </w:pPr>
      <w:rPr>
        <w:rFonts w:hint="default"/>
        <w:lang w:val="sk" w:eastAsia="sk" w:bidi="sk"/>
      </w:rPr>
    </w:lvl>
    <w:lvl w:ilvl="5" w:tplc="3982923C">
      <w:numFmt w:val="bullet"/>
      <w:lvlText w:val="•"/>
      <w:lvlJc w:val="left"/>
      <w:pPr>
        <w:ind w:left="4893" w:hanging="360"/>
      </w:pPr>
      <w:rPr>
        <w:rFonts w:hint="default"/>
        <w:lang w:val="sk" w:eastAsia="sk" w:bidi="sk"/>
      </w:rPr>
    </w:lvl>
    <w:lvl w:ilvl="6" w:tplc="9FAE84B6">
      <w:numFmt w:val="bullet"/>
      <w:lvlText w:val="•"/>
      <w:lvlJc w:val="left"/>
      <w:pPr>
        <w:ind w:left="5775" w:hanging="360"/>
      </w:pPr>
      <w:rPr>
        <w:rFonts w:hint="default"/>
        <w:lang w:val="sk" w:eastAsia="sk" w:bidi="sk"/>
      </w:rPr>
    </w:lvl>
    <w:lvl w:ilvl="7" w:tplc="CDF6E7C6">
      <w:numFmt w:val="bullet"/>
      <w:lvlText w:val="•"/>
      <w:lvlJc w:val="left"/>
      <w:pPr>
        <w:ind w:left="6658" w:hanging="360"/>
      </w:pPr>
      <w:rPr>
        <w:rFonts w:hint="default"/>
        <w:lang w:val="sk" w:eastAsia="sk" w:bidi="sk"/>
      </w:rPr>
    </w:lvl>
    <w:lvl w:ilvl="8" w:tplc="17244202">
      <w:numFmt w:val="bullet"/>
      <w:lvlText w:val="•"/>
      <w:lvlJc w:val="left"/>
      <w:pPr>
        <w:ind w:left="7541" w:hanging="360"/>
      </w:pPr>
      <w:rPr>
        <w:rFonts w:hint="default"/>
        <w:lang w:val="sk" w:eastAsia="sk" w:bidi="sk"/>
      </w:rPr>
    </w:lvl>
  </w:abstractNum>
  <w:abstractNum w:abstractNumId="8" w15:restartNumberingAfterBreak="0">
    <w:nsid w:val="513A561D"/>
    <w:multiLevelType w:val="hybridMultilevel"/>
    <w:tmpl w:val="B2F4A8CE"/>
    <w:lvl w:ilvl="0" w:tplc="85745DCA">
      <w:start w:val="1"/>
      <w:numFmt w:val="decimal"/>
      <w:lvlText w:val="(%1)"/>
      <w:lvlJc w:val="left"/>
      <w:pPr>
        <w:ind w:left="476" w:hanging="360"/>
      </w:pPr>
      <w:rPr>
        <w:rFonts w:ascii="Times New Roman" w:eastAsia="Times New Roman" w:hAnsi="Times New Roman" w:cs="Times New Roman" w:hint="default"/>
        <w:w w:val="100"/>
        <w:sz w:val="23"/>
        <w:szCs w:val="23"/>
        <w:lang w:val="sk" w:eastAsia="sk" w:bidi="sk"/>
      </w:rPr>
    </w:lvl>
    <w:lvl w:ilvl="1" w:tplc="A46E83EC">
      <w:numFmt w:val="bullet"/>
      <w:lvlText w:val="•"/>
      <w:lvlJc w:val="left"/>
      <w:pPr>
        <w:ind w:left="1362" w:hanging="360"/>
      </w:pPr>
      <w:rPr>
        <w:rFonts w:hint="default"/>
        <w:lang w:val="sk" w:eastAsia="sk" w:bidi="sk"/>
      </w:rPr>
    </w:lvl>
    <w:lvl w:ilvl="2" w:tplc="5C882EC6">
      <w:numFmt w:val="bullet"/>
      <w:lvlText w:val="•"/>
      <w:lvlJc w:val="left"/>
      <w:pPr>
        <w:ind w:left="2245" w:hanging="360"/>
      </w:pPr>
      <w:rPr>
        <w:rFonts w:hint="default"/>
        <w:lang w:val="sk" w:eastAsia="sk" w:bidi="sk"/>
      </w:rPr>
    </w:lvl>
    <w:lvl w:ilvl="3" w:tplc="CE5E74FA">
      <w:numFmt w:val="bullet"/>
      <w:lvlText w:val="•"/>
      <w:lvlJc w:val="left"/>
      <w:pPr>
        <w:ind w:left="3127" w:hanging="360"/>
      </w:pPr>
      <w:rPr>
        <w:rFonts w:hint="default"/>
        <w:lang w:val="sk" w:eastAsia="sk" w:bidi="sk"/>
      </w:rPr>
    </w:lvl>
    <w:lvl w:ilvl="4" w:tplc="36E8D23C">
      <w:numFmt w:val="bullet"/>
      <w:lvlText w:val="•"/>
      <w:lvlJc w:val="left"/>
      <w:pPr>
        <w:ind w:left="4010" w:hanging="360"/>
      </w:pPr>
      <w:rPr>
        <w:rFonts w:hint="default"/>
        <w:lang w:val="sk" w:eastAsia="sk" w:bidi="sk"/>
      </w:rPr>
    </w:lvl>
    <w:lvl w:ilvl="5" w:tplc="077EB7C2">
      <w:numFmt w:val="bullet"/>
      <w:lvlText w:val="•"/>
      <w:lvlJc w:val="left"/>
      <w:pPr>
        <w:ind w:left="4893" w:hanging="360"/>
      </w:pPr>
      <w:rPr>
        <w:rFonts w:hint="default"/>
        <w:lang w:val="sk" w:eastAsia="sk" w:bidi="sk"/>
      </w:rPr>
    </w:lvl>
    <w:lvl w:ilvl="6" w:tplc="266E975A">
      <w:numFmt w:val="bullet"/>
      <w:lvlText w:val="•"/>
      <w:lvlJc w:val="left"/>
      <w:pPr>
        <w:ind w:left="5775" w:hanging="360"/>
      </w:pPr>
      <w:rPr>
        <w:rFonts w:hint="default"/>
        <w:lang w:val="sk" w:eastAsia="sk" w:bidi="sk"/>
      </w:rPr>
    </w:lvl>
    <w:lvl w:ilvl="7" w:tplc="E97A9ECE">
      <w:numFmt w:val="bullet"/>
      <w:lvlText w:val="•"/>
      <w:lvlJc w:val="left"/>
      <w:pPr>
        <w:ind w:left="6658" w:hanging="360"/>
      </w:pPr>
      <w:rPr>
        <w:rFonts w:hint="default"/>
        <w:lang w:val="sk" w:eastAsia="sk" w:bidi="sk"/>
      </w:rPr>
    </w:lvl>
    <w:lvl w:ilvl="8" w:tplc="D3B66DCA">
      <w:numFmt w:val="bullet"/>
      <w:lvlText w:val="•"/>
      <w:lvlJc w:val="left"/>
      <w:pPr>
        <w:ind w:left="7541" w:hanging="360"/>
      </w:pPr>
      <w:rPr>
        <w:rFonts w:hint="default"/>
        <w:lang w:val="sk" w:eastAsia="sk" w:bidi="sk"/>
      </w:rPr>
    </w:lvl>
  </w:abstractNum>
  <w:abstractNum w:abstractNumId="9" w15:restartNumberingAfterBreak="0">
    <w:nsid w:val="5A02523A"/>
    <w:multiLevelType w:val="hybridMultilevel"/>
    <w:tmpl w:val="87C03C3E"/>
    <w:lvl w:ilvl="0" w:tplc="95C88A74">
      <w:start w:val="7"/>
      <w:numFmt w:val="decimal"/>
      <w:lvlText w:val="(%1)"/>
      <w:lvlJc w:val="left"/>
      <w:pPr>
        <w:ind w:left="476" w:hanging="360"/>
      </w:pPr>
      <w:rPr>
        <w:rFonts w:ascii="Times New Roman" w:eastAsia="Times New Roman" w:hAnsi="Times New Roman" w:cs="Times New Roman" w:hint="default"/>
        <w:w w:val="100"/>
        <w:sz w:val="23"/>
        <w:szCs w:val="23"/>
        <w:lang w:val="sk" w:eastAsia="sk" w:bidi="sk"/>
      </w:rPr>
    </w:lvl>
    <w:lvl w:ilvl="1" w:tplc="02EA2D3C">
      <w:numFmt w:val="bullet"/>
      <w:lvlText w:val="•"/>
      <w:lvlJc w:val="left"/>
      <w:pPr>
        <w:ind w:left="1362" w:hanging="360"/>
      </w:pPr>
      <w:rPr>
        <w:rFonts w:hint="default"/>
        <w:lang w:val="sk" w:eastAsia="sk" w:bidi="sk"/>
      </w:rPr>
    </w:lvl>
    <w:lvl w:ilvl="2" w:tplc="DC6EF672">
      <w:numFmt w:val="bullet"/>
      <w:lvlText w:val="•"/>
      <w:lvlJc w:val="left"/>
      <w:pPr>
        <w:ind w:left="2245" w:hanging="360"/>
      </w:pPr>
      <w:rPr>
        <w:rFonts w:hint="default"/>
        <w:lang w:val="sk" w:eastAsia="sk" w:bidi="sk"/>
      </w:rPr>
    </w:lvl>
    <w:lvl w:ilvl="3" w:tplc="15DABFF2">
      <w:numFmt w:val="bullet"/>
      <w:lvlText w:val="•"/>
      <w:lvlJc w:val="left"/>
      <w:pPr>
        <w:ind w:left="3127" w:hanging="360"/>
      </w:pPr>
      <w:rPr>
        <w:rFonts w:hint="default"/>
        <w:lang w:val="sk" w:eastAsia="sk" w:bidi="sk"/>
      </w:rPr>
    </w:lvl>
    <w:lvl w:ilvl="4" w:tplc="448621B6">
      <w:numFmt w:val="bullet"/>
      <w:lvlText w:val="•"/>
      <w:lvlJc w:val="left"/>
      <w:pPr>
        <w:ind w:left="4010" w:hanging="360"/>
      </w:pPr>
      <w:rPr>
        <w:rFonts w:hint="default"/>
        <w:lang w:val="sk" w:eastAsia="sk" w:bidi="sk"/>
      </w:rPr>
    </w:lvl>
    <w:lvl w:ilvl="5" w:tplc="B1FEEC68">
      <w:numFmt w:val="bullet"/>
      <w:lvlText w:val="•"/>
      <w:lvlJc w:val="left"/>
      <w:pPr>
        <w:ind w:left="4893" w:hanging="360"/>
      </w:pPr>
      <w:rPr>
        <w:rFonts w:hint="default"/>
        <w:lang w:val="sk" w:eastAsia="sk" w:bidi="sk"/>
      </w:rPr>
    </w:lvl>
    <w:lvl w:ilvl="6" w:tplc="E22C65D4">
      <w:numFmt w:val="bullet"/>
      <w:lvlText w:val="•"/>
      <w:lvlJc w:val="left"/>
      <w:pPr>
        <w:ind w:left="5775" w:hanging="360"/>
      </w:pPr>
      <w:rPr>
        <w:rFonts w:hint="default"/>
        <w:lang w:val="sk" w:eastAsia="sk" w:bidi="sk"/>
      </w:rPr>
    </w:lvl>
    <w:lvl w:ilvl="7" w:tplc="D8C0F75E">
      <w:numFmt w:val="bullet"/>
      <w:lvlText w:val="•"/>
      <w:lvlJc w:val="left"/>
      <w:pPr>
        <w:ind w:left="6658" w:hanging="360"/>
      </w:pPr>
      <w:rPr>
        <w:rFonts w:hint="default"/>
        <w:lang w:val="sk" w:eastAsia="sk" w:bidi="sk"/>
      </w:rPr>
    </w:lvl>
    <w:lvl w:ilvl="8" w:tplc="7DA0CCA6">
      <w:numFmt w:val="bullet"/>
      <w:lvlText w:val="•"/>
      <w:lvlJc w:val="left"/>
      <w:pPr>
        <w:ind w:left="7541" w:hanging="360"/>
      </w:pPr>
      <w:rPr>
        <w:rFonts w:hint="default"/>
        <w:lang w:val="sk" w:eastAsia="sk" w:bidi="sk"/>
      </w:rPr>
    </w:lvl>
  </w:abstractNum>
  <w:abstractNum w:abstractNumId="10" w15:restartNumberingAfterBreak="0">
    <w:nsid w:val="5E582CD8"/>
    <w:multiLevelType w:val="hybridMultilevel"/>
    <w:tmpl w:val="DC2C1CFE"/>
    <w:lvl w:ilvl="0" w:tplc="AB4C33F6">
      <w:start w:val="1"/>
      <w:numFmt w:val="decimal"/>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740799"/>
    <w:multiLevelType w:val="hybridMultilevel"/>
    <w:tmpl w:val="3C9C8900"/>
    <w:lvl w:ilvl="0" w:tplc="3B0E0B38">
      <w:start w:val="1"/>
      <w:numFmt w:val="decimal"/>
      <w:lvlText w:val="(%1)"/>
      <w:lvlJc w:val="left"/>
      <w:pPr>
        <w:ind w:left="476" w:hanging="360"/>
      </w:pPr>
      <w:rPr>
        <w:rFonts w:ascii="Times New Roman" w:eastAsia="Times New Roman" w:hAnsi="Times New Roman" w:cs="Times New Roman" w:hint="default"/>
        <w:w w:val="100"/>
        <w:sz w:val="23"/>
        <w:szCs w:val="23"/>
        <w:lang w:val="sk" w:eastAsia="sk" w:bidi="sk"/>
      </w:rPr>
    </w:lvl>
    <w:lvl w:ilvl="1" w:tplc="A3987CDE">
      <w:numFmt w:val="bullet"/>
      <w:lvlText w:val="•"/>
      <w:lvlJc w:val="left"/>
      <w:pPr>
        <w:ind w:left="1362" w:hanging="360"/>
      </w:pPr>
      <w:rPr>
        <w:rFonts w:hint="default"/>
        <w:lang w:val="sk" w:eastAsia="sk" w:bidi="sk"/>
      </w:rPr>
    </w:lvl>
    <w:lvl w:ilvl="2" w:tplc="CCC89CD6">
      <w:numFmt w:val="bullet"/>
      <w:lvlText w:val="•"/>
      <w:lvlJc w:val="left"/>
      <w:pPr>
        <w:ind w:left="2245" w:hanging="360"/>
      </w:pPr>
      <w:rPr>
        <w:rFonts w:hint="default"/>
        <w:lang w:val="sk" w:eastAsia="sk" w:bidi="sk"/>
      </w:rPr>
    </w:lvl>
    <w:lvl w:ilvl="3" w:tplc="291EBF04">
      <w:numFmt w:val="bullet"/>
      <w:lvlText w:val="•"/>
      <w:lvlJc w:val="left"/>
      <w:pPr>
        <w:ind w:left="3127" w:hanging="360"/>
      </w:pPr>
      <w:rPr>
        <w:rFonts w:hint="default"/>
        <w:lang w:val="sk" w:eastAsia="sk" w:bidi="sk"/>
      </w:rPr>
    </w:lvl>
    <w:lvl w:ilvl="4" w:tplc="B65A1E10">
      <w:numFmt w:val="bullet"/>
      <w:lvlText w:val="•"/>
      <w:lvlJc w:val="left"/>
      <w:pPr>
        <w:ind w:left="4010" w:hanging="360"/>
      </w:pPr>
      <w:rPr>
        <w:rFonts w:hint="default"/>
        <w:lang w:val="sk" w:eastAsia="sk" w:bidi="sk"/>
      </w:rPr>
    </w:lvl>
    <w:lvl w:ilvl="5" w:tplc="AEB03670">
      <w:numFmt w:val="bullet"/>
      <w:lvlText w:val="•"/>
      <w:lvlJc w:val="left"/>
      <w:pPr>
        <w:ind w:left="4893" w:hanging="360"/>
      </w:pPr>
      <w:rPr>
        <w:rFonts w:hint="default"/>
        <w:lang w:val="sk" w:eastAsia="sk" w:bidi="sk"/>
      </w:rPr>
    </w:lvl>
    <w:lvl w:ilvl="6" w:tplc="C63A2000">
      <w:numFmt w:val="bullet"/>
      <w:lvlText w:val="•"/>
      <w:lvlJc w:val="left"/>
      <w:pPr>
        <w:ind w:left="5775" w:hanging="360"/>
      </w:pPr>
      <w:rPr>
        <w:rFonts w:hint="default"/>
        <w:lang w:val="sk" w:eastAsia="sk" w:bidi="sk"/>
      </w:rPr>
    </w:lvl>
    <w:lvl w:ilvl="7" w:tplc="22D8229C">
      <w:numFmt w:val="bullet"/>
      <w:lvlText w:val="•"/>
      <w:lvlJc w:val="left"/>
      <w:pPr>
        <w:ind w:left="6658" w:hanging="360"/>
      </w:pPr>
      <w:rPr>
        <w:rFonts w:hint="default"/>
        <w:lang w:val="sk" w:eastAsia="sk" w:bidi="sk"/>
      </w:rPr>
    </w:lvl>
    <w:lvl w:ilvl="8" w:tplc="1660E688">
      <w:numFmt w:val="bullet"/>
      <w:lvlText w:val="•"/>
      <w:lvlJc w:val="left"/>
      <w:pPr>
        <w:ind w:left="7541" w:hanging="360"/>
      </w:pPr>
      <w:rPr>
        <w:rFonts w:hint="default"/>
        <w:lang w:val="sk" w:eastAsia="sk" w:bidi="sk"/>
      </w:rPr>
    </w:lvl>
  </w:abstractNum>
  <w:num w:numId="1">
    <w:abstractNumId w:val="3"/>
  </w:num>
  <w:num w:numId="2">
    <w:abstractNumId w:val="11"/>
  </w:num>
  <w:num w:numId="3">
    <w:abstractNumId w:val="9"/>
  </w:num>
  <w:num w:numId="4">
    <w:abstractNumId w:val="7"/>
  </w:num>
  <w:num w:numId="5">
    <w:abstractNumId w:val="8"/>
  </w:num>
  <w:num w:numId="6">
    <w:abstractNumId w:val="5"/>
  </w:num>
  <w:num w:numId="7">
    <w:abstractNumId w:val="1"/>
  </w:num>
  <w:num w:numId="8">
    <w:abstractNumId w:val="4"/>
  </w:num>
  <w:num w:numId="9">
    <w:abstractNumId w:val="2"/>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11"/>
    <w:rsid w:val="00000A4D"/>
    <w:rsid w:val="00020C81"/>
    <w:rsid w:val="0003440B"/>
    <w:rsid w:val="00082911"/>
    <w:rsid w:val="000B1C88"/>
    <w:rsid w:val="000C601A"/>
    <w:rsid w:val="000E1F82"/>
    <w:rsid w:val="00135932"/>
    <w:rsid w:val="00136377"/>
    <w:rsid w:val="001659A6"/>
    <w:rsid w:val="00184F85"/>
    <w:rsid w:val="001859E0"/>
    <w:rsid w:val="001A3F15"/>
    <w:rsid w:val="001B3967"/>
    <w:rsid w:val="001C701D"/>
    <w:rsid w:val="00202DD1"/>
    <w:rsid w:val="00204BB3"/>
    <w:rsid w:val="00231349"/>
    <w:rsid w:val="002804F7"/>
    <w:rsid w:val="002E17D8"/>
    <w:rsid w:val="00301E3E"/>
    <w:rsid w:val="003073B4"/>
    <w:rsid w:val="00320FEC"/>
    <w:rsid w:val="00335B34"/>
    <w:rsid w:val="003660C6"/>
    <w:rsid w:val="0038765F"/>
    <w:rsid w:val="00390070"/>
    <w:rsid w:val="003B0EFB"/>
    <w:rsid w:val="00404B73"/>
    <w:rsid w:val="00434157"/>
    <w:rsid w:val="00463500"/>
    <w:rsid w:val="0046528A"/>
    <w:rsid w:val="00470183"/>
    <w:rsid w:val="0047620D"/>
    <w:rsid w:val="00476A20"/>
    <w:rsid w:val="00483004"/>
    <w:rsid w:val="004C00C3"/>
    <w:rsid w:val="004C5D58"/>
    <w:rsid w:val="004D46C2"/>
    <w:rsid w:val="0052453F"/>
    <w:rsid w:val="005743B6"/>
    <w:rsid w:val="0059166B"/>
    <w:rsid w:val="0059247A"/>
    <w:rsid w:val="005C05F4"/>
    <w:rsid w:val="00606E9C"/>
    <w:rsid w:val="00664859"/>
    <w:rsid w:val="006667D9"/>
    <w:rsid w:val="00672E1E"/>
    <w:rsid w:val="006D4899"/>
    <w:rsid w:val="006E3E9A"/>
    <w:rsid w:val="00702289"/>
    <w:rsid w:val="007159AF"/>
    <w:rsid w:val="00742E59"/>
    <w:rsid w:val="007B647B"/>
    <w:rsid w:val="007E1A28"/>
    <w:rsid w:val="0080336C"/>
    <w:rsid w:val="00820510"/>
    <w:rsid w:val="008478AE"/>
    <w:rsid w:val="0086244C"/>
    <w:rsid w:val="0086544A"/>
    <w:rsid w:val="008F02AE"/>
    <w:rsid w:val="00911B23"/>
    <w:rsid w:val="00923CD5"/>
    <w:rsid w:val="009805D5"/>
    <w:rsid w:val="00A1090C"/>
    <w:rsid w:val="00A11772"/>
    <w:rsid w:val="00A12BA0"/>
    <w:rsid w:val="00A42B9E"/>
    <w:rsid w:val="00A96E1E"/>
    <w:rsid w:val="00B36B91"/>
    <w:rsid w:val="00BC6E90"/>
    <w:rsid w:val="00BE7C4C"/>
    <w:rsid w:val="00BF361B"/>
    <w:rsid w:val="00C04246"/>
    <w:rsid w:val="00C13FFE"/>
    <w:rsid w:val="00C728D9"/>
    <w:rsid w:val="00C81A1F"/>
    <w:rsid w:val="00C82CF2"/>
    <w:rsid w:val="00CB7CBC"/>
    <w:rsid w:val="00CF5EDA"/>
    <w:rsid w:val="00D27CD9"/>
    <w:rsid w:val="00D81A6C"/>
    <w:rsid w:val="00D90583"/>
    <w:rsid w:val="00DB56C7"/>
    <w:rsid w:val="00DB62B3"/>
    <w:rsid w:val="00DC6D38"/>
    <w:rsid w:val="00DD3012"/>
    <w:rsid w:val="00DE798A"/>
    <w:rsid w:val="00DF7CBE"/>
    <w:rsid w:val="00E01985"/>
    <w:rsid w:val="00E32E9C"/>
    <w:rsid w:val="00E40ADE"/>
    <w:rsid w:val="00E910EA"/>
    <w:rsid w:val="00E92977"/>
    <w:rsid w:val="00E92EE9"/>
    <w:rsid w:val="00EC245A"/>
    <w:rsid w:val="00ED6833"/>
    <w:rsid w:val="00F11185"/>
    <w:rsid w:val="00F13B23"/>
    <w:rsid w:val="00F40425"/>
    <w:rsid w:val="00F44AF2"/>
    <w:rsid w:val="00F47A79"/>
    <w:rsid w:val="00F70F6C"/>
    <w:rsid w:val="00FA7A01"/>
    <w:rsid w:val="00FE05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k"/>
    </w:rPr>
  </w:style>
  <w:style w:type="paragraph" w:styleId="Heading1">
    <w:name w:val="heading 1"/>
    <w:basedOn w:val="Normal"/>
    <w:uiPriority w:val="9"/>
    <w:qFormat/>
    <w:pPr>
      <w:ind w:left="320" w:right="325"/>
      <w:outlineLvl w:val="0"/>
    </w:pPr>
    <w:rPr>
      <w:b/>
      <w:bCs/>
      <w:sz w:val="28"/>
      <w:szCs w:val="28"/>
    </w:rPr>
  </w:style>
  <w:style w:type="paragraph" w:styleId="Heading2">
    <w:name w:val="heading 2"/>
    <w:basedOn w:val="Normal"/>
    <w:uiPriority w:val="9"/>
    <w:unhideWhenUsed/>
    <w:qFormat/>
    <w:pPr>
      <w:ind w:left="11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47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31349"/>
    <w:rPr>
      <w:sz w:val="16"/>
      <w:szCs w:val="16"/>
    </w:rPr>
  </w:style>
  <w:style w:type="paragraph" w:styleId="CommentText">
    <w:name w:val="annotation text"/>
    <w:basedOn w:val="Normal"/>
    <w:link w:val="CommentTextChar"/>
    <w:uiPriority w:val="99"/>
    <w:semiHidden/>
    <w:unhideWhenUsed/>
    <w:rsid w:val="00231349"/>
    <w:rPr>
      <w:sz w:val="20"/>
      <w:szCs w:val="20"/>
    </w:rPr>
  </w:style>
  <w:style w:type="character" w:customStyle="1" w:styleId="CommentTextChar">
    <w:name w:val="Comment Text Char"/>
    <w:basedOn w:val="DefaultParagraphFont"/>
    <w:link w:val="CommentText"/>
    <w:uiPriority w:val="99"/>
    <w:semiHidden/>
    <w:rsid w:val="00231349"/>
    <w:rPr>
      <w:rFonts w:ascii="Times New Roman" w:eastAsia="Times New Roman" w:hAnsi="Times New Roman" w:cs="Times New Roman"/>
      <w:sz w:val="20"/>
      <w:szCs w:val="20"/>
      <w:lang w:eastAsia="sk"/>
    </w:rPr>
  </w:style>
  <w:style w:type="paragraph" w:styleId="CommentSubject">
    <w:name w:val="annotation subject"/>
    <w:basedOn w:val="CommentText"/>
    <w:next w:val="CommentText"/>
    <w:link w:val="CommentSubjectChar"/>
    <w:uiPriority w:val="99"/>
    <w:semiHidden/>
    <w:unhideWhenUsed/>
    <w:rsid w:val="00231349"/>
    <w:rPr>
      <w:b/>
      <w:bCs/>
    </w:rPr>
  </w:style>
  <w:style w:type="character" w:customStyle="1" w:styleId="CommentSubjectChar">
    <w:name w:val="Comment Subject Char"/>
    <w:basedOn w:val="CommentTextChar"/>
    <w:link w:val="CommentSubject"/>
    <w:uiPriority w:val="99"/>
    <w:semiHidden/>
    <w:rsid w:val="00231349"/>
    <w:rPr>
      <w:rFonts w:ascii="Times New Roman" w:eastAsia="Times New Roman" w:hAnsi="Times New Roman" w:cs="Times New Roman"/>
      <w:b/>
      <w:bCs/>
      <w:sz w:val="20"/>
      <w:szCs w:val="20"/>
      <w:lang w:eastAsia="sk"/>
    </w:rPr>
  </w:style>
  <w:style w:type="paragraph" w:styleId="Revision">
    <w:name w:val="Revision"/>
    <w:hidden/>
    <w:uiPriority w:val="99"/>
    <w:semiHidden/>
    <w:rsid w:val="00231349"/>
    <w:pPr>
      <w:widowControl/>
      <w:autoSpaceDE/>
      <w:autoSpaceDN/>
    </w:pPr>
    <w:rPr>
      <w:rFonts w:ascii="Times New Roman" w:eastAsia="Times New Roman" w:hAnsi="Times New Roman" w:cs="Times New Roman"/>
      <w:lang w:eastAsia="sk"/>
    </w:rPr>
  </w:style>
  <w:style w:type="paragraph" w:styleId="BalloonText">
    <w:name w:val="Balloon Text"/>
    <w:basedOn w:val="Normal"/>
    <w:link w:val="BalloonTextChar"/>
    <w:uiPriority w:val="99"/>
    <w:semiHidden/>
    <w:unhideWhenUsed/>
    <w:rsid w:val="00231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49"/>
    <w:rPr>
      <w:rFonts w:ascii="Segoe UI" w:eastAsia="Times New Roman" w:hAnsi="Segoe UI" w:cs="Segoe UI"/>
      <w:sz w:val="18"/>
      <w:szCs w:val="18"/>
      <w:lang w:eastAsia="sk"/>
    </w:rPr>
  </w:style>
  <w:style w:type="paragraph" w:customStyle="1" w:styleId="Default">
    <w:name w:val="Default"/>
    <w:rsid w:val="001659A6"/>
    <w:pPr>
      <w:widowControl/>
      <w:adjustRightInd w:val="0"/>
    </w:pPr>
    <w:rPr>
      <w:rFonts w:ascii="Times New Roman" w:hAnsi="Times New Roman" w:cs="Times New Roman"/>
      <w:color w:val="000000"/>
      <w:sz w:val="24"/>
      <w:szCs w:val="24"/>
      <w:lang w:val="sk-SK"/>
    </w:rPr>
  </w:style>
  <w:style w:type="character" w:styleId="Hyperlink">
    <w:name w:val="Hyperlink"/>
    <w:basedOn w:val="DefaultParagraphFont"/>
    <w:uiPriority w:val="99"/>
    <w:unhideWhenUsed/>
    <w:rsid w:val="001B3967"/>
    <w:rPr>
      <w:color w:val="0000FF" w:themeColor="hyperlink"/>
      <w:u w:val="single"/>
    </w:rPr>
  </w:style>
  <w:style w:type="character" w:styleId="FollowedHyperlink">
    <w:name w:val="FollowedHyperlink"/>
    <w:basedOn w:val="DefaultParagraphFont"/>
    <w:uiPriority w:val="99"/>
    <w:semiHidden/>
    <w:unhideWhenUsed/>
    <w:rsid w:val="001B3967"/>
    <w:rPr>
      <w:color w:val="800080" w:themeColor="followedHyperlink"/>
      <w:u w:val="single"/>
    </w:rPr>
  </w:style>
  <w:style w:type="character" w:customStyle="1" w:styleId="ts-alignment-element">
    <w:name w:val="ts-alignment-element"/>
    <w:basedOn w:val="DefaultParagraphFont"/>
    <w:rsid w:val="00ED6833"/>
  </w:style>
  <w:style w:type="character" w:customStyle="1" w:styleId="ts-alignment-element-highlighted">
    <w:name w:val="ts-alignment-element-highlighted"/>
    <w:basedOn w:val="DefaultParagraphFont"/>
    <w:rsid w:val="00ED6833"/>
  </w:style>
  <w:style w:type="character" w:customStyle="1" w:styleId="y2iqfc">
    <w:name w:val="y2iqfc"/>
    <w:basedOn w:val="DefaultParagraphFont"/>
    <w:rsid w:val="00ED6833"/>
  </w:style>
  <w:style w:type="paragraph" w:styleId="Header">
    <w:name w:val="header"/>
    <w:basedOn w:val="Normal"/>
    <w:link w:val="HeaderChar"/>
    <w:uiPriority w:val="99"/>
    <w:unhideWhenUsed/>
    <w:rsid w:val="00CB7CBC"/>
    <w:pPr>
      <w:tabs>
        <w:tab w:val="center" w:pos="4536"/>
        <w:tab w:val="right" w:pos="9072"/>
      </w:tabs>
    </w:pPr>
  </w:style>
  <w:style w:type="character" w:customStyle="1" w:styleId="HeaderChar">
    <w:name w:val="Header Char"/>
    <w:basedOn w:val="DefaultParagraphFont"/>
    <w:link w:val="Header"/>
    <w:uiPriority w:val="99"/>
    <w:rsid w:val="00CB7CBC"/>
    <w:rPr>
      <w:rFonts w:ascii="Times New Roman" w:eastAsia="Times New Roman" w:hAnsi="Times New Roman" w:cs="Times New Roman"/>
      <w:lang w:eastAsia="sk"/>
    </w:rPr>
  </w:style>
  <w:style w:type="paragraph" w:styleId="Footer">
    <w:name w:val="footer"/>
    <w:basedOn w:val="Normal"/>
    <w:link w:val="FooterChar"/>
    <w:uiPriority w:val="99"/>
    <w:unhideWhenUsed/>
    <w:rsid w:val="00CB7CBC"/>
    <w:pPr>
      <w:tabs>
        <w:tab w:val="center" w:pos="4536"/>
        <w:tab w:val="right" w:pos="9072"/>
      </w:tabs>
    </w:pPr>
  </w:style>
  <w:style w:type="character" w:customStyle="1" w:styleId="FooterChar">
    <w:name w:val="Footer Char"/>
    <w:basedOn w:val="DefaultParagraphFont"/>
    <w:link w:val="Footer"/>
    <w:uiPriority w:val="99"/>
    <w:rsid w:val="00CB7CBC"/>
    <w:rPr>
      <w:rFonts w:ascii="Times New Roman" w:eastAsia="Times New Roman" w:hAnsi="Times New Roman" w:cs="Times New Roman"/>
      <w:lang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5563">
      <w:bodyDiv w:val="1"/>
      <w:marLeft w:val="0"/>
      <w:marRight w:val="0"/>
      <w:marTop w:val="0"/>
      <w:marBottom w:val="0"/>
      <w:divBdr>
        <w:top w:val="none" w:sz="0" w:space="0" w:color="auto"/>
        <w:left w:val="none" w:sz="0" w:space="0" w:color="auto"/>
        <w:bottom w:val="none" w:sz="0" w:space="0" w:color="auto"/>
        <w:right w:val="none" w:sz="0" w:space="0" w:color="auto"/>
      </w:divBdr>
      <w:divsChild>
        <w:div w:id="1377705850">
          <w:marLeft w:val="0"/>
          <w:marRight w:val="0"/>
          <w:marTop w:val="0"/>
          <w:marBottom w:val="0"/>
          <w:divBdr>
            <w:top w:val="none" w:sz="0" w:space="0" w:color="auto"/>
            <w:left w:val="none" w:sz="0" w:space="0" w:color="auto"/>
            <w:bottom w:val="none" w:sz="0" w:space="0" w:color="auto"/>
            <w:right w:val="none" w:sz="0" w:space="0" w:color="auto"/>
          </w:divBdr>
          <w:divsChild>
            <w:div w:id="1179390652">
              <w:marLeft w:val="0"/>
              <w:marRight w:val="0"/>
              <w:marTop w:val="0"/>
              <w:marBottom w:val="0"/>
              <w:divBdr>
                <w:top w:val="none" w:sz="0" w:space="0" w:color="auto"/>
                <w:left w:val="none" w:sz="0" w:space="0" w:color="auto"/>
                <w:bottom w:val="none" w:sz="0" w:space="0" w:color="auto"/>
                <w:right w:val="none" w:sz="0" w:space="0" w:color="auto"/>
              </w:divBdr>
              <w:divsChild>
                <w:div w:id="1783256692">
                  <w:marLeft w:val="0"/>
                  <w:marRight w:val="0"/>
                  <w:marTop w:val="0"/>
                  <w:marBottom w:val="0"/>
                  <w:divBdr>
                    <w:top w:val="none" w:sz="0" w:space="0" w:color="auto"/>
                    <w:left w:val="none" w:sz="0" w:space="0" w:color="auto"/>
                    <w:bottom w:val="none" w:sz="0" w:space="0" w:color="auto"/>
                    <w:right w:val="none" w:sz="0" w:space="0" w:color="auto"/>
                  </w:divBdr>
                  <w:divsChild>
                    <w:div w:id="644356694">
                      <w:marLeft w:val="0"/>
                      <w:marRight w:val="0"/>
                      <w:marTop w:val="0"/>
                      <w:marBottom w:val="0"/>
                      <w:divBdr>
                        <w:top w:val="none" w:sz="0" w:space="0" w:color="auto"/>
                        <w:left w:val="none" w:sz="0" w:space="0" w:color="auto"/>
                        <w:bottom w:val="none" w:sz="0" w:space="0" w:color="auto"/>
                        <w:right w:val="none" w:sz="0" w:space="0" w:color="auto"/>
                      </w:divBdr>
                      <w:divsChild>
                        <w:div w:id="1034891635">
                          <w:marLeft w:val="0"/>
                          <w:marRight w:val="0"/>
                          <w:marTop w:val="0"/>
                          <w:marBottom w:val="0"/>
                          <w:divBdr>
                            <w:top w:val="none" w:sz="0" w:space="0" w:color="auto"/>
                            <w:left w:val="none" w:sz="0" w:space="0" w:color="auto"/>
                            <w:bottom w:val="none" w:sz="0" w:space="0" w:color="auto"/>
                            <w:right w:val="none" w:sz="0" w:space="0" w:color="auto"/>
                          </w:divBdr>
                          <w:divsChild>
                            <w:div w:id="1364402537">
                              <w:marLeft w:val="0"/>
                              <w:marRight w:val="0"/>
                              <w:marTop w:val="0"/>
                              <w:marBottom w:val="0"/>
                              <w:divBdr>
                                <w:top w:val="none" w:sz="0" w:space="0" w:color="auto"/>
                                <w:left w:val="none" w:sz="0" w:space="0" w:color="auto"/>
                                <w:bottom w:val="none" w:sz="0" w:space="0" w:color="auto"/>
                                <w:right w:val="none" w:sz="0" w:space="0" w:color="auto"/>
                              </w:divBdr>
                              <w:divsChild>
                                <w:div w:id="237640544">
                                  <w:marLeft w:val="0"/>
                                  <w:marRight w:val="0"/>
                                  <w:marTop w:val="0"/>
                                  <w:marBottom w:val="0"/>
                                  <w:divBdr>
                                    <w:top w:val="none" w:sz="0" w:space="0" w:color="auto"/>
                                    <w:left w:val="none" w:sz="0" w:space="0" w:color="auto"/>
                                    <w:bottom w:val="none" w:sz="0" w:space="0" w:color="auto"/>
                                    <w:right w:val="none" w:sz="0" w:space="0" w:color="auto"/>
                                  </w:divBdr>
                                  <w:divsChild>
                                    <w:div w:id="1308584974">
                                      <w:marLeft w:val="0"/>
                                      <w:marRight w:val="0"/>
                                      <w:marTop w:val="0"/>
                                      <w:marBottom w:val="0"/>
                                      <w:divBdr>
                                        <w:top w:val="none" w:sz="0" w:space="0" w:color="auto"/>
                                        <w:left w:val="none" w:sz="0" w:space="0" w:color="auto"/>
                                        <w:bottom w:val="none" w:sz="0" w:space="0" w:color="auto"/>
                                        <w:right w:val="none" w:sz="0" w:space="0" w:color="auto"/>
                                      </w:divBdr>
                                      <w:divsChild>
                                        <w:div w:id="1173834042">
                                          <w:marLeft w:val="0"/>
                                          <w:marRight w:val="0"/>
                                          <w:marTop w:val="0"/>
                                          <w:marBottom w:val="0"/>
                                          <w:divBdr>
                                            <w:top w:val="none" w:sz="0" w:space="0" w:color="auto"/>
                                            <w:left w:val="none" w:sz="0" w:space="0" w:color="auto"/>
                                            <w:bottom w:val="none" w:sz="0" w:space="0" w:color="auto"/>
                                            <w:right w:val="none" w:sz="0" w:space="0" w:color="auto"/>
                                          </w:divBdr>
                                          <w:divsChild>
                                            <w:div w:id="1603996104">
                                              <w:marLeft w:val="0"/>
                                              <w:marRight w:val="0"/>
                                              <w:marTop w:val="0"/>
                                              <w:marBottom w:val="0"/>
                                              <w:divBdr>
                                                <w:top w:val="none" w:sz="0" w:space="0" w:color="auto"/>
                                                <w:left w:val="none" w:sz="0" w:space="0" w:color="auto"/>
                                                <w:bottom w:val="none" w:sz="0" w:space="0" w:color="auto"/>
                                                <w:right w:val="none" w:sz="0" w:space="0" w:color="auto"/>
                                              </w:divBdr>
                                              <w:divsChild>
                                                <w:div w:id="1882814321">
                                                  <w:marLeft w:val="0"/>
                                                  <w:marRight w:val="0"/>
                                                  <w:marTop w:val="0"/>
                                                  <w:marBottom w:val="0"/>
                                                  <w:divBdr>
                                                    <w:top w:val="none" w:sz="0" w:space="0" w:color="auto"/>
                                                    <w:left w:val="none" w:sz="0" w:space="0" w:color="auto"/>
                                                    <w:bottom w:val="none" w:sz="0" w:space="0" w:color="auto"/>
                                                    <w:right w:val="none" w:sz="0" w:space="0" w:color="auto"/>
                                                  </w:divBdr>
                                                  <w:divsChild>
                                                    <w:div w:id="1856459301">
                                                      <w:marLeft w:val="0"/>
                                                      <w:marRight w:val="0"/>
                                                      <w:marTop w:val="0"/>
                                                      <w:marBottom w:val="0"/>
                                                      <w:divBdr>
                                                        <w:top w:val="none" w:sz="0" w:space="0" w:color="auto"/>
                                                        <w:left w:val="none" w:sz="0" w:space="0" w:color="auto"/>
                                                        <w:bottom w:val="none" w:sz="0" w:space="0" w:color="auto"/>
                                                        <w:right w:val="none" w:sz="0" w:space="0" w:color="auto"/>
                                                      </w:divBdr>
                                                      <w:divsChild>
                                                        <w:div w:id="2138178203">
                                                          <w:marLeft w:val="0"/>
                                                          <w:marRight w:val="0"/>
                                                          <w:marTop w:val="0"/>
                                                          <w:marBottom w:val="0"/>
                                                          <w:divBdr>
                                                            <w:top w:val="none" w:sz="0" w:space="0" w:color="auto"/>
                                                            <w:left w:val="none" w:sz="0" w:space="0" w:color="auto"/>
                                                            <w:bottom w:val="none" w:sz="0" w:space="0" w:color="auto"/>
                                                            <w:right w:val="none" w:sz="0" w:space="0" w:color="auto"/>
                                                          </w:divBdr>
                                                          <w:divsChild>
                                                            <w:div w:id="11959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6992621">
      <w:bodyDiv w:val="1"/>
      <w:marLeft w:val="0"/>
      <w:marRight w:val="0"/>
      <w:marTop w:val="0"/>
      <w:marBottom w:val="0"/>
      <w:divBdr>
        <w:top w:val="none" w:sz="0" w:space="0" w:color="auto"/>
        <w:left w:val="none" w:sz="0" w:space="0" w:color="auto"/>
        <w:bottom w:val="none" w:sz="0" w:space="0" w:color="auto"/>
        <w:right w:val="none" w:sz="0" w:space="0" w:color="auto"/>
      </w:divBdr>
      <w:divsChild>
        <w:div w:id="1816606237">
          <w:marLeft w:val="0"/>
          <w:marRight w:val="0"/>
          <w:marTop w:val="0"/>
          <w:marBottom w:val="0"/>
          <w:divBdr>
            <w:top w:val="none" w:sz="0" w:space="0" w:color="auto"/>
            <w:left w:val="none" w:sz="0" w:space="0" w:color="auto"/>
            <w:bottom w:val="none" w:sz="0" w:space="0" w:color="auto"/>
            <w:right w:val="none" w:sz="0" w:space="0" w:color="auto"/>
          </w:divBdr>
          <w:divsChild>
            <w:div w:id="1310358453">
              <w:marLeft w:val="0"/>
              <w:marRight w:val="0"/>
              <w:marTop w:val="0"/>
              <w:marBottom w:val="0"/>
              <w:divBdr>
                <w:top w:val="none" w:sz="0" w:space="0" w:color="auto"/>
                <w:left w:val="none" w:sz="0" w:space="0" w:color="auto"/>
                <w:bottom w:val="none" w:sz="0" w:space="0" w:color="auto"/>
                <w:right w:val="none" w:sz="0" w:space="0" w:color="auto"/>
              </w:divBdr>
              <w:divsChild>
                <w:div w:id="1217738134">
                  <w:marLeft w:val="0"/>
                  <w:marRight w:val="0"/>
                  <w:marTop w:val="0"/>
                  <w:marBottom w:val="0"/>
                  <w:divBdr>
                    <w:top w:val="none" w:sz="0" w:space="0" w:color="auto"/>
                    <w:left w:val="none" w:sz="0" w:space="0" w:color="auto"/>
                    <w:bottom w:val="none" w:sz="0" w:space="0" w:color="auto"/>
                    <w:right w:val="none" w:sz="0" w:space="0" w:color="auto"/>
                  </w:divBdr>
                  <w:divsChild>
                    <w:div w:id="1858615705">
                      <w:marLeft w:val="0"/>
                      <w:marRight w:val="0"/>
                      <w:marTop w:val="0"/>
                      <w:marBottom w:val="0"/>
                      <w:divBdr>
                        <w:top w:val="none" w:sz="0" w:space="0" w:color="auto"/>
                        <w:left w:val="none" w:sz="0" w:space="0" w:color="auto"/>
                        <w:bottom w:val="none" w:sz="0" w:space="0" w:color="auto"/>
                        <w:right w:val="none" w:sz="0" w:space="0" w:color="auto"/>
                      </w:divBdr>
                      <w:divsChild>
                        <w:div w:id="1498687410">
                          <w:marLeft w:val="0"/>
                          <w:marRight w:val="0"/>
                          <w:marTop w:val="0"/>
                          <w:marBottom w:val="0"/>
                          <w:divBdr>
                            <w:top w:val="none" w:sz="0" w:space="0" w:color="auto"/>
                            <w:left w:val="none" w:sz="0" w:space="0" w:color="auto"/>
                            <w:bottom w:val="none" w:sz="0" w:space="0" w:color="auto"/>
                            <w:right w:val="none" w:sz="0" w:space="0" w:color="auto"/>
                          </w:divBdr>
                          <w:divsChild>
                            <w:div w:id="1928153933">
                              <w:marLeft w:val="0"/>
                              <w:marRight w:val="0"/>
                              <w:marTop w:val="0"/>
                              <w:marBottom w:val="0"/>
                              <w:divBdr>
                                <w:top w:val="none" w:sz="0" w:space="0" w:color="auto"/>
                                <w:left w:val="none" w:sz="0" w:space="0" w:color="auto"/>
                                <w:bottom w:val="none" w:sz="0" w:space="0" w:color="auto"/>
                                <w:right w:val="none" w:sz="0" w:space="0" w:color="auto"/>
                              </w:divBdr>
                              <w:divsChild>
                                <w:div w:id="1153333213">
                                  <w:marLeft w:val="0"/>
                                  <w:marRight w:val="0"/>
                                  <w:marTop w:val="0"/>
                                  <w:marBottom w:val="0"/>
                                  <w:divBdr>
                                    <w:top w:val="none" w:sz="0" w:space="0" w:color="auto"/>
                                    <w:left w:val="none" w:sz="0" w:space="0" w:color="auto"/>
                                    <w:bottom w:val="none" w:sz="0" w:space="0" w:color="auto"/>
                                    <w:right w:val="none" w:sz="0" w:space="0" w:color="auto"/>
                                  </w:divBdr>
                                  <w:divsChild>
                                    <w:div w:id="102193237">
                                      <w:marLeft w:val="0"/>
                                      <w:marRight w:val="0"/>
                                      <w:marTop w:val="0"/>
                                      <w:marBottom w:val="0"/>
                                      <w:divBdr>
                                        <w:top w:val="none" w:sz="0" w:space="0" w:color="auto"/>
                                        <w:left w:val="none" w:sz="0" w:space="0" w:color="auto"/>
                                        <w:bottom w:val="none" w:sz="0" w:space="0" w:color="auto"/>
                                        <w:right w:val="none" w:sz="0" w:space="0" w:color="auto"/>
                                      </w:divBdr>
                                      <w:divsChild>
                                        <w:div w:id="2017531779">
                                          <w:marLeft w:val="0"/>
                                          <w:marRight w:val="0"/>
                                          <w:marTop w:val="0"/>
                                          <w:marBottom w:val="0"/>
                                          <w:divBdr>
                                            <w:top w:val="none" w:sz="0" w:space="0" w:color="auto"/>
                                            <w:left w:val="none" w:sz="0" w:space="0" w:color="auto"/>
                                            <w:bottom w:val="none" w:sz="0" w:space="0" w:color="auto"/>
                                            <w:right w:val="none" w:sz="0" w:space="0" w:color="auto"/>
                                          </w:divBdr>
                                          <w:divsChild>
                                            <w:div w:id="786390829">
                                              <w:marLeft w:val="0"/>
                                              <w:marRight w:val="0"/>
                                              <w:marTop w:val="0"/>
                                              <w:marBottom w:val="0"/>
                                              <w:divBdr>
                                                <w:top w:val="none" w:sz="0" w:space="0" w:color="auto"/>
                                                <w:left w:val="none" w:sz="0" w:space="0" w:color="auto"/>
                                                <w:bottom w:val="none" w:sz="0" w:space="0" w:color="auto"/>
                                                <w:right w:val="none" w:sz="0" w:space="0" w:color="auto"/>
                                              </w:divBdr>
                                              <w:divsChild>
                                                <w:div w:id="2046056809">
                                                  <w:marLeft w:val="0"/>
                                                  <w:marRight w:val="0"/>
                                                  <w:marTop w:val="0"/>
                                                  <w:marBottom w:val="0"/>
                                                  <w:divBdr>
                                                    <w:top w:val="none" w:sz="0" w:space="0" w:color="auto"/>
                                                    <w:left w:val="none" w:sz="0" w:space="0" w:color="auto"/>
                                                    <w:bottom w:val="none" w:sz="0" w:space="0" w:color="auto"/>
                                                    <w:right w:val="none" w:sz="0" w:space="0" w:color="auto"/>
                                                  </w:divBdr>
                                                  <w:divsChild>
                                                    <w:div w:id="1911573579">
                                                      <w:marLeft w:val="0"/>
                                                      <w:marRight w:val="0"/>
                                                      <w:marTop w:val="0"/>
                                                      <w:marBottom w:val="0"/>
                                                      <w:divBdr>
                                                        <w:top w:val="none" w:sz="0" w:space="0" w:color="auto"/>
                                                        <w:left w:val="none" w:sz="0" w:space="0" w:color="auto"/>
                                                        <w:bottom w:val="none" w:sz="0" w:space="0" w:color="auto"/>
                                                        <w:right w:val="none" w:sz="0" w:space="0" w:color="auto"/>
                                                      </w:divBdr>
                                                      <w:divsChild>
                                                        <w:div w:id="144788455">
                                                          <w:marLeft w:val="0"/>
                                                          <w:marRight w:val="0"/>
                                                          <w:marTop w:val="0"/>
                                                          <w:marBottom w:val="0"/>
                                                          <w:divBdr>
                                                            <w:top w:val="none" w:sz="0" w:space="0" w:color="auto"/>
                                                            <w:left w:val="none" w:sz="0" w:space="0" w:color="auto"/>
                                                            <w:bottom w:val="none" w:sz="0" w:space="0" w:color="auto"/>
                                                            <w:right w:val="none" w:sz="0" w:space="0" w:color="auto"/>
                                                          </w:divBdr>
                                                          <w:divsChild>
                                                            <w:div w:id="1700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31835">
      <w:bodyDiv w:val="1"/>
      <w:marLeft w:val="0"/>
      <w:marRight w:val="0"/>
      <w:marTop w:val="0"/>
      <w:marBottom w:val="0"/>
      <w:divBdr>
        <w:top w:val="none" w:sz="0" w:space="0" w:color="auto"/>
        <w:left w:val="none" w:sz="0" w:space="0" w:color="auto"/>
        <w:bottom w:val="none" w:sz="0" w:space="0" w:color="auto"/>
        <w:right w:val="none" w:sz="0" w:space="0" w:color="auto"/>
      </w:divBdr>
      <w:divsChild>
        <w:div w:id="1277952635">
          <w:marLeft w:val="0"/>
          <w:marRight w:val="0"/>
          <w:marTop w:val="0"/>
          <w:marBottom w:val="0"/>
          <w:divBdr>
            <w:top w:val="none" w:sz="0" w:space="0" w:color="auto"/>
            <w:left w:val="none" w:sz="0" w:space="0" w:color="auto"/>
            <w:bottom w:val="none" w:sz="0" w:space="0" w:color="auto"/>
            <w:right w:val="none" w:sz="0" w:space="0" w:color="auto"/>
          </w:divBdr>
          <w:divsChild>
            <w:div w:id="1953591222">
              <w:marLeft w:val="0"/>
              <w:marRight w:val="0"/>
              <w:marTop w:val="0"/>
              <w:marBottom w:val="0"/>
              <w:divBdr>
                <w:top w:val="none" w:sz="0" w:space="0" w:color="auto"/>
                <w:left w:val="none" w:sz="0" w:space="0" w:color="auto"/>
                <w:bottom w:val="none" w:sz="0" w:space="0" w:color="auto"/>
                <w:right w:val="none" w:sz="0" w:space="0" w:color="auto"/>
              </w:divBdr>
              <w:divsChild>
                <w:div w:id="1866945625">
                  <w:marLeft w:val="0"/>
                  <w:marRight w:val="0"/>
                  <w:marTop w:val="0"/>
                  <w:marBottom w:val="0"/>
                  <w:divBdr>
                    <w:top w:val="none" w:sz="0" w:space="0" w:color="auto"/>
                    <w:left w:val="none" w:sz="0" w:space="0" w:color="auto"/>
                    <w:bottom w:val="none" w:sz="0" w:space="0" w:color="auto"/>
                    <w:right w:val="none" w:sz="0" w:space="0" w:color="auto"/>
                  </w:divBdr>
                  <w:divsChild>
                    <w:div w:id="252323859">
                      <w:marLeft w:val="0"/>
                      <w:marRight w:val="0"/>
                      <w:marTop w:val="0"/>
                      <w:marBottom w:val="0"/>
                      <w:divBdr>
                        <w:top w:val="none" w:sz="0" w:space="0" w:color="auto"/>
                        <w:left w:val="none" w:sz="0" w:space="0" w:color="auto"/>
                        <w:bottom w:val="none" w:sz="0" w:space="0" w:color="auto"/>
                        <w:right w:val="none" w:sz="0" w:space="0" w:color="auto"/>
                      </w:divBdr>
                      <w:divsChild>
                        <w:div w:id="90514762">
                          <w:marLeft w:val="0"/>
                          <w:marRight w:val="0"/>
                          <w:marTop w:val="0"/>
                          <w:marBottom w:val="0"/>
                          <w:divBdr>
                            <w:top w:val="none" w:sz="0" w:space="0" w:color="auto"/>
                            <w:left w:val="none" w:sz="0" w:space="0" w:color="auto"/>
                            <w:bottom w:val="none" w:sz="0" w:space="0" w:color="auto"/>
                            <w:right w:val="none" w:sz="0" w:space="0" w:color="auto"/>
                          </w:divBdr>
                          <w:divsChild>
                            <w:div w:id="1009913720">
                              <w:marLeft w:val="0"/>
                              <w:marRight w:val="0"/>
                              <w:marTop w:val="0"/>
                              <w:marBottom w:val="0"/>
                              <w:divBdr>
                                <w:top w:val="none" w:sz="0" w:space="0" w:color="auto"/>
                                <w:left w:val="none" w:sz="0" w:space="0" w:color="auto"/>
                                <w:bottom w:val="none" w:sz="0" w:space="0" w:color="auto"/>
                                <w:right w:val="none" w:sz="0" w:space="0" w:color="auto"/>
                              </w:divBdr>
                              <w:divsChild>
                                <w:div w:id="1842355801">
                                  <w:marLeft w:val="0"/>
                                  <w:marRight w:val="0"/>
                                  <w:marTop w:val="0"/>
                                  <w:marBottom w:val="0"/>
                                  <w:divBdr>
                                    <w:top w:val="none" w:sz="0" w:space="0" w:color="auto"/>
                                    <w:left w:val="none" w:sz="0" w:space="0" w:color="auto"/>
                                    <w:bottom w:val="none" w:sz="0" w:space="0" w:color="auto"/>
                                    <w:right w:val="none" w:sz="0" w:space="0" w:color="auto"/>
                                  </w:divBdr>
                                  <w:divsChild>
                                    <w:div w:id="214700273">
                                      <w:marLeft w:val="0"/>
                                      <w:marRight w:val="0"/>
                                      <w:marTop w:val="0"/>
                                      <w:marBottom w:val="0"/>
                                      <w:divBdr>
                                        <w:top w:val="none" w:sz="0" w:space="0" w:color="auto"/>
                                        <w:left w:val="none" w:sz="0" w:space="0" w:color="auto"/>
                                        <w:bottom w:val="none" w:sz="0" w:space="0" w:color="auto"/>
                                        <w:right w:val="none" w:sz="0" w:space="0" w:color="auto"/>
                                      </w:divBdr>
                                      <w:divsChild>
                                        <w:div w:id="1284460927">
                                          <w:marLeft w:val="0"/>
                                          <w:marRight w:val="0"/>
                                          <w:marTop w:val="0"/>
                                          <w:marBottom w:val="0"/>
                                          <w:divBdr>
                                            <w:top w:val="none" w:sz="0" w:space="0" w:color="auto"/>
                                            <w:left w:val="none" w:sz="0" w:space="0" w:color="auto"/>
                                            <w:bottom w:val="none" w:sz="0" w:space="0" w:color="auto"/>
                                            <w:right w:val="none" w:sz="0" w:space="0" w:color="auto"/>
                                          </w:divBdr>
                                          <w:divsChild>
                                            <w:div w:id="755248300">
                                              <w:marLeft w:val="0"/>
                                              <w:marRight w:val="0"/>
                                              <w:marTop w:val="0"/>
                                              <w:marBottom w:val="0"/>
                                              <w:divBdr>
                                                <w:top w:val="none" w:sz="0" w:space="0" w:color="auto"/>
                                                <w:left w:val="none" w:sz="0" w:space="0" w:color="auto"/>
                                                <w:bottom w:val="none" w:sz="0" w:space="0" w:color="auto"/>
                                                <w:right w:val="none" w:sz="0" w:space="0" w:color="auto"/>
                                              </w:divBdr>
                                              <w:divsChild>
                                                <w:div w:id="1734112852">
                                                  <w:marLeft w:val="0"/>
                                                  <w:marRight w:val="0"/>
                                                  <w:marTop w:val="0"/>
                                                  <w:marBottom w:val="0"/>
                                                  <w:divBdr>
                                                    <w:top w:val="none" w:sz="0" w:space="0" w:color="auto"/>
                                                    <w:left w:val="none" w:sz="0" w:space="0" w:color="auto"/>
                                                    <w:bottom w:val="none" w:sz="0" w:space="0" w:color="auto"/>
                                                    <w:right w:val="none" w:sz="0" w:space="0" w:color="auto"/>
                                                  </w:divBdr>
                                                  <w:divsChild>
                                                    <w:div w:id="1128820256">
                                                      <w:marLeft w:val="0"/>
                                                      <w:marRight w:val="0"/>
                                                      <w:marTop w:val="0"/>
                                                      <w:marBottom w:val="0"/>
                                                      <w:divBdr>
                                                        <w:top w:val="none" w:sz="0" w:space="0" w:color="auto"/>
                                                        <w:left w:val="none" w:sz="0" w:space="0" w:color="auto"/>
                                                        <w:bottom w:val="none" w:sz="0" w:space="0" w:color="auto"/>
                                                        <w:right w:val="none" w:sz="0" w:space="0" w:color="auto"/>
                                                      </w:divBdr>
                                                      <w:divsChild>
                                                        <w:div w:id="468478171">
                                                          <w:marLeft w:val="0"/>
                                                          <w:marRight w:val="0"/>
                                                          <w:marTop w:val="0"/>
                                                          <w:marBottom w:val="0"/>
                                                          <w:divBdr>
                                                            <w:top w:val="none" w:sz="0" w:space="0" w:color="auto"/>
                                                            <w:left w:val="none" w:sz="0" w:space="0" w:color="auto"/>
                                                            <w:bottom w:val="none" w:sz="0" w:space="0" w:color="auto"/>
                                                            <w:right w:val="none" w:sz="0" w:space="0" w:color="auto"/>
                                                          </w:divBdr>
                                                          <w:divsChild>
                                                            <w:div w:id="20060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453706">
      <w:bodyDiv w:val="1"/>
      <w:marLeft w:val="0"/>
      <w:marRight w:val="0"/>
      <w:marTop w:val="0"/>
      <w:marBottom w:val="0"/>
      <w:divBdr>
        <w:top w:val="none" w:sz="0" w:space="0" w:color="auto"/>
        <w:left w:val="none" w:sz="0" w:space="0" w:color="auto"/>
        <w:bottom w:val="none" w:sz="0" w:space="0" w:color="auto"/>
        <w:right w:val="none" w:sz="0" w:space="0" w:color="auto"/>
      </w:divBdr>
      <w:divsChild>
        <w:div w:id="1079912697">
          <w:marLeft w:val="0"/>
          <w:marRight w:val="0"/>
          <w:marTop w:val="0"/>
          <w:marBottom w:val="0"/>
          <w:divBdr>
            <w:top w:val="none" w:sz="0" w:space="0" w:color="auto"/>
            <w:left w:val="none" w:sz="0" w:space="0" w:color="auto"/>
            <w:bottom w:val="none" w:sz="0" w:space="0" w:color="auto"/>
            <w:right w:val="none" w:sz="0" w:space="0" w:color="auto"/>
          </w:divBdr>
          <w:divsChild>
            <w:div w:id="1902136040">
              <w:marLeft w:val="0"/>
              <w:marRight w:val="0"/>
              <w:marTop w:val="0"/>
              <w:marBottom w:val="0"/>
              <w:divBdr>
                <w:top w:val="none" w:sz="0" w:space="0" w:color="auto"/>
                <w:left w:val="none" w:sz="0" w:space="0" w:color="auto"/>
                <w:bottom w:val="none" w:sz="0" w:space="0" w:color="auto"/>
                <w:right w:val="none" w:sz="0" w:space="0" w:color="auto"/>
              </w:divBdr>
              <w:divsChild>
                <w:div w:id="1269775821">
                  <w:marLeft w:val="0"/>
                  <w:marRight w:val="0"/>
                  <w:marTop w:val="0"/>
                  <w:marBottom w:val="0"/>
                  <w:divBdr>
                    <w:top w:val="none" w:sz="0" w:space="0" w:color="auto"/>
                    <w:left w:val="none" w:sz="0" w:space="0" w:color="auto"/>
                    <w:bottom w:val="none" w:sz="0" w:space="0" w:color="auto"/>
                    <w:right w:val="none" w:sz="0" w:space="0" w:color="auto"/>
                  </w:divBdr>
                  <w:divsChild>
                    <w:div w:id="864486495">
                      <w:marLeft w:val="0"/>
                      <w:marRight w:val="0"/>
                      <w:marTop w:val="0"/>
                      <w:marBottom w:val="0"/>
                      <w:divBdr>
                        <w:top w:val="none" w:sz="0" w:space="0" w:color="auto"/>
                        <w:left w:val="none" w:sz="0" w:space="0" w:color="auto"/>
                        <w:bottom w:val="none" w:sz="0" w:space="0" w:color="auto"/>
                        <w:right w:val="none" w:sz="0" w:space="0" w:color="auto"/>
                      </w:divBdr>
                      <w:divsChild>
                        <w:div w:id="1161770393">
                          <w:marLeft w:val="0"/>
                          <w:marRight w:val="0"/>
                          <w:marTop w:val="0"/>
                          <w:marBottom w:val="0"/>
                          <w:divBdr>
                            <w:top w:val="none" w:sz="0" w:space="0" w:color="auto"/>
                            <w:left w:val="none" w:sz="0" w:space="0" w:color="auto"/>
                            <w:bottom w:val="none" w:sz="0" w:space="0" w:color="auto"/>
                            <w:right w:val="none" w:sz="0" w:space="0" w:color="auto"/>
                          </w:divBdr>
                          <w:divsChild>
                            <w:div w:id="2077822438">
                              <w:marLeft w:val="0"/>
                              <w:marRight w:val="0"/>
                              <w:marTop w:val="0"/>
                              <w:marBottom w:val="0"/>
                              <w:divBdr>
                                <w:top w:val="none" w:sz="0" w:space="0" w:color="auto"/>
                                <w:left w:val="none" w:sz="0" w:space="0" w:color="auto"/>
                                <w:bottom w:val="none" w:sz="0" w:space="0" w:color="auto"/>
                                <w:right w:val="none" w:sz="0" w:space="0" w:color="auto"/>
                              </w:divBdr>
                              <w:divsChild>
                                <w:div w:id="1373994316">
                                  <w:marLeft w:val="0"/>
                                  <w:marRight w:val="0"/>
                                  <w:marTop w:val="0"/>
                                  <w:marBottom w:val="0"/>
                                  <w:divBdr>
                                    <w:top w:val="none" w:sz="0" w:space="0" w:color="auto"/>
                                    <w:left w:val="none" w:sz="0" w:space="0" w:color="auto"/>
                                    <w:bottom w:val="none" w:sz="0" w:space="0" w:color="auto"/>
                                    <w:right w:val="none" w:sz="0" w:space="0" w:color="auto"/>
                                  </w:divBdr>
                                  <w:divsChild>
                                    <w:div w:id="539167280">
                                      <w:marLeft w:val="0"/>
                                      <w:marRight w:val="0"/>
                                      <w:marTop w:val="0"/>
                                      <w:marBottom w:val="0"/>
                                      <w:divBdr>
                                        <w:top w:val="none" w:sz="0" w:space="0" w:color="auto"/>
                                        <w:left w:val="none" w:sz="0" w:space="0" w:color="auto"/>
                                        <w:bottom w:val="none" w:sz="0" w:space="0" w:color="auto"/>
                                        <w:right w:val="none" w:sz="0" w:space="0" w:color="auto"/>
                                      </w:divBdr>
                                      <w:divsChild>
                                        <w:div w:id="301078927">
                                          <w:marLeft w:val="0"/>
                                          <w:marRight w:val="0"/>
                                          <w:marTop w:val="0"/>
                                          <w:marBottom w:val="0"/>
                                          <w:divBdr>
                                            <w:top w:val="none" w:sz="0" w:space="0" w:color="auto"/>
                                            <w:left w:val="none" w:sz="0" w:space="0" w:color="auto"/>
                                            <w:bottom w:val="none" w:sz="0" w:space="0" w:color="auto"/>
                                            <w:right w:val="none" w:sz="0" w:space="0" w:color="auto"/>
                                          </w:divBdr>
                                          <w:divsChild>
                                            <w:div w:id="2008745635">
                                              <w:marLeft w:val="0"/>
                                              <w:marRight w:val="0"/>
                                              <w:marTop w:val="0"/>
                                              <w:marBottom w:val="0"/>
                                              <w:divBdr>
                                                <w:top w:val="none" w:sz="0" w:space="0" w:color="auto"/>
                                                <w:left w:val="none" w:sz="0" w:space="0" w:color="auto"/>
                                                <w:bottom w:val="none" w:sz="0" w:space="0" w:color="auto"/>
                                                <w:right w:val="none" w:sz="0" w:space="0" w:color="auto"/>
                                              </w:divBdr>
                                              <w:divsChild>
                                                <w:div w:id="1790540775">
                                                  <w:marLeft w:val="0"/>
                                                  <w:marRight w:val="0"/>
                                                  <w:marTop w:val="0"/>
                                                  <w:marBottom w:val="0"/>
                                                  <w:divBdr>
                                                    <w:top w:val="none" w:sz="0" w:space="0" w:color="auto"/>
                                                    <w:left w:val="none" w:sz="0" w:space="0" w:color="auto"/>
                                                    <w:bottom w:val="none" w:sz="0" w:space="0" w:color="auto"/>
                                                    <w:right w:val="none" w:sz="0" w:space="0" w:color="auto"/>
                                                  </w:divBdr>
                                                  <w:divsChild>
                                                    <w:div w:id="1886335216">
                                                      <w:marLeft w:val="0"/>
                                                      <w:marRight w:val="0"/>
                                                      <w:marTop w:val="0"/>
                                                      <w:marBottom w:val="0"/>
                                                      <w:divBdr>
                                                        <w:top w:val="none" w:sz="0" w:space="0" w:color="auto"/>
                                                        <w:left w:val="none" w:sz="0" w:space="0" w:color="auto"/>
                                                        <w:bottom w:val="none" w:sz="0" w:space="0" w:color="auto"/>
                                                        <w:right w:val="none" w:sz="0" w:space="0" w:color="auto"/>
                                                      </w:divBdr>
                                                      <w:divsChild>
                                                        <w:div w:id="1778409044">
                                                          <w:marLeft w:val="0"/>
                                                          <w:marRight w:val="0"/>
                                                          <w:marTop w:val="0"/>
                                                          <w:marBottom w:val="0"/>
                                                          <w:divBdr>
                                                            <w:top w:val="none" w:sz="0" w:space="0" w:color="auto"/>
                                                            <w:left w:val="none" w:sz="0" w:space="0" w:color="auto"/>
                                                            <w:bottom w:val="none" w:sz="0" w:space="0" w:color="auto"/>
                                                            <w:right w:val="none" w:sz="0" w:space="0" w:color="auto"/>
                                                          </w:divBdr>
                                                          <w:divsChild>
                                                            <w:div w:id="422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3713059">
      <w:bodyDiv w:val="1"/>
      <w:marLeft w:val="0"/>
      <w:marRight w:val="0"/>
      <w:marTop w:val="0"/>
      <w:marBottom w:val="0"/>
      <w:divBdr>
        <w:top w:val="none" w:sz="0" w:space="0" w:color="auto"/>
        <w:left w:val="none" w:sz="0" w:space="0" w:color="auto"/>
        <w:bottom w:val="none" w:sz="0" w:space="0" w:color="auto"/>
        <w:right w:val="none" w:sz="0" w:space="0" w:color="auto"/>
      </w:divBdr>
      <w:divsChild>
        <w:div w:id="2000496412">
          <w:marLeft w:val="0"/>
          <w:marRight w:val="0"/>
          <w:marTop w:val="0"/>
          <w:marBottom w:val="0"/>
          <w:divBdr>
            <w:top w:val="none" w:sz="0" w:space="0" w:color="auto"/>
            <w:left w:val="none" w:sz="0" w:space="0" w:color="auto"/>
            <w:bottom w:val="none" w:sz="0" w:space="0" w:color="auto"/>
            <w:right w:val="none" w:sz="0" w:space="0" w:color="auto"/>
          </w:divBdr>
          <w:divsChild>
            <w:div w:id="1558735162">
              <w:marLeft w:val="0"/>
              <w:marRight w:val="0"/>
              <w:marTop w:val="0"/>
              <w:marBottom w:val="0"/>
              <w:divBdr>
                <w:top w:val="none" w:sz="0" w:space="0" w:color="auto"/>
                <w:left w:val="none" w:sz="0" w:space="0" w:color="auto"/>
                <w:bottom w:val="none" w:sz="0" w:space="0" w:color="auto"/>
                <w:right w:val="none" w:sz="0" w:space="0" w:color="auto"/>
              </w:divBdr>
              <w:divsChild>
                <w:div w:id="1870145317">
                  <w:marLeft w:val="0"/>
                  <w:marRight w:val="0"/>
                  <w:marTop w:val="0"/>
                  <w:marBottom w:val="0"/>
                  <w:divBdr>
                    <w:top w:val="none" w:sz="0" w:space="0" w:color="auto"/>
                    <w:left w:val="none" w:sz="0" w:space="0" w:color="auto"/>
                    <w:bottom w:val="none" w:sz="0" w:space="0" w:color="auto"/>
                    <w:right w:val="none" w:sz="0" w:space="0" w:color="auto"/>
                  </w:divBdr>
                  <w:divsChild>
                    <w:div w:id="1683628227">
                      <w:marLeft w:val="0"/>
                      <w:marRight w:val="0"/>
                      <w:marTop w:val="0"/>
                      <w:marBottom w:val="0"/>
                      <w:divBdr>
                        <w:top w:val="none" w:sz="0" w:space="0" w:color="auto"/>
                        <w:left w:val="none" w:sz="0" w:space="0" w:color="auto"/>
                        <w:bottom w:val="none" w:sz="0" w:space="0" w:color="auto"/>
                        <w:right w:val="none" w:sz="0" w:space="0" w:color="auto"/>
                      </w:divBdr>
                      <w:divsChild>
                        <w:div w:id="1015226339">
                          <w:marLeft w:val="0"/>
                          <w:marRight w:val="0"/>
                          <w:marTop w:val="0"/>
                          <w:marBottom w:val="0"/>
                          <w:divBdr>
                            <w:top w:val="none" w:sz="0" w:space="0" w:color="auto"/>
                            <w:left w:val="none" w:sz="0" w:space="0" w:color="auto"/>
                            <w:bottom w:val="none" w:sz="0" w:space="0" w:color="auto"/>
                            <w:right w:val="none" w:sz="0" w:space="0" w:color="auto"/>
                          </w:divBdr>
                          <w:divsChild>
                            <w:div w:id="743456417">
                              <w:marLeft w:val="0"/>
                              <w:marRight w:val="0"/>
                              <w:marTop w:val="0"/>
                              <w:marBottom w:val="0"/>
                              <w:divBdr>
                                <w:top w:val="none" w:sz="0" w:space="0" w:color="auto"/>
                                <w:left w:val="none" w:sz="0" w:space="0" w:color="auto"/>
                                <w:bottom w:val="none" w:sz="0" w:space="0" w:color="auto"/>
                                <w:right w:val="none" w:sz="0" w:space="0" w:color="auto"/>
                              </w:divBdr>
                              <w:divsChild>
                                <w:div w:id="1593927168">
                                  <w:marLeft w:val="0"/>
                                  <w:marRight w:val="0"/>
                                  <w:marTop w:val="0"/>
                                  <w:marBottom w:val="0"/>
                                  <w:divBdr>
                                    <w:top w:val="none" w:sz="0" w:space="0" w:color="auto"/>
                                    <w:left w:val="none" w:sz="0" w:space="0" w:color="auto"/>
                                    <w:bottom w:val="none" w:sz="0" w:space="0" w:color="auto"/>
                                    <w:right w:val="none" w:sz="0" w:space="0" w:color="auto"/>
                                  </w:divBdr>
                                  <w:divsChild>
                                    <w:div w:id="1555508136">
                                      <w:marLeft w:val="0"/>
                                      <w:marRight w:val="0"/>
                                      <w:marTop w:val="0"/>
                                      <w:marBottom w:val="0"/>
                                      <w:divBdr>
                                        <w:top w:val="none" w:sz="0" w:space="0" w:color="auto"/>
                                        <w:left w:val="none" w:sz="0" w:space="0" w:color="auto"/>
                                        <w:bottom w:val="none" w:sz="0" w:space="0" w:color="auto"/>
                                        <w:right w:val="none" w:sz="0" w:space="0" w:color="auto"/>
                                      </w:divBdr>
                                      <w:divsChild>
                                        <w:div w:id="1506674157">
                                          <w:marLeft w:val="0"/>
                                          <w:marRight w:val="0"/>
                                          <w:marTop w:val="0"/>
                                          <w:marBottom w:val="0"/>
                                          <w:divBdr>
                                            <w:top w:val="none" w:sz="0" w:space="0" w:color="auto"/>
                                            <w:left w:val="none" w:sz="0" w:space="0" w:color="auto"/>
                                            <w:bottom w:val="none" w:sz="0" w:space="0" w:color="auto"/>
                                            <w:right w:val="none" w:sz="0" w:space="0" w:color="auto"/>
                                          </w:divBdr>
                                          <w:divsChild>
                                            <w:div w:id="1661688227">
                                              <w:marLeft w:val="0"/>
                                              <w:marRight w:val="0"/>
                                              <w:marTop w:val="0"/>
                                              <w:marBottom w:val="0"/>
                                              <w:divBdr>
                                                <w:top w:val="none" w:sz="0" w:space="0" w:color="auto"/>
                                                <w:left w:val="none" w:sz="0" w:space="0" w:color="auto"/>
                                                <w:bottom w:val="none" w:sz="0" w:space="0" w:color="auto"/>
                                                <w:right w:val="none" w:sz="0" w:space="0" w:color="auto"/>
                                              </w:divBdr>
                                              <w:divsChild>
                                                <w:div w:id="1149663380">
                                                  <w:marLeft w:val="0"/>
                                                  <w:marRight w:val="0"/>
                                                  <w:marTop w:val="0"/>
                                                  <w:marBottom w:val="0"/>
                                                  <w:divBdr>
                                                    <w:top w:val="none" w:sz="0" w:space="0" w:color="auto"/>
                                                    <w:left w:val="none" w:sz="0" w:space="0" w:color="auto"/>
                                                    <w:bottom w:val="none" w:sz="0" w:space="0" w:color="auto"/>
                                                    <w:right w:val="none" w:sz="0" w:space="0" w:color="auto"/>
                                                  </w:divBdr>
                                                  <w:divsChild>
                                                    <w:div w:id="1330324824">
                                                      <w:marLeft w:val="0"/>
                                                      <w:marRight w:val="0"/>
                                                      <w:marTop w:val="0"/>
                                                      <w:marBottom w:val="0"/>
                                                      <w:divBdr>
                                                        <w:top w:val="none" w:sz="0" w:space="0" w:color="auto"/>
                                                        <w:left w:val="none" w:sz="0" w:space="0" w:color="auto"/>
                                                        <w:bottom w:val="none" w:sz="0" w:space="0" w:color="auto"/>
                                                        <w:right w:val="none" w:sz="0" w:space="0" w:color="auto"/>
                                                      </w:divBdr>
                                                      <w:divsChild>
                                                        <w:div w:id="1296983656">
                                                          <w:marLeft w:val="0"/>
                                                          <w:marRight w:val="0"/>
                                                          <w:marTop w:val="0"/>
                                                          <w:marBottom w:val="0"/>
                                                          <w:divBdr>
                                                            <w:top w:val="none" w:sz="0" w:space="0" w:color="auto"/>
                                                            <w:left w:val="none" w:sz="0" w:space="0" w:color="auto"/>
                                                            <w:bottom w:val="none" w:sz="0" w:space="0" w:color="auto"/>
                                                            <w:right w:val="none" w:sz="0" w:space="0" w:color="auto"/>
                                                          </w:divBdr>
                                                          <w:divsChild>
                                                            <w:div w:id="1851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0524223">
      <w:bodyDiv w:val="1"/>
      <w:marLeft w:val="0"/>
      <w:marRight w:val="0"/>
      <w:marTop w:val="0"/>
      <w:marBottom w:val="0"/>
      <w:divBdr>
        <w:top w:val="none" w:sz="0" w:space="0" w:color="auto"/>
        <w:left w:val="none" w:sz="0" w:space="0" w:color="auto"/>
        <w:bottom w:val="none" w:sz="0" w:space="0" w:color="auto"/>
        <w:right w:val="none" w:sz="0" w:space="0" w:color="auto"/>
      </w:divBdr>
      <w:divsChild>
        <w:div w:id="779566321">
          <w:marLeft w:val="0"/>
          <w:marRight w:val="0"/>
          <w:marTop w:val="0"/>
          <w:marBottom w:val="0"/>
          <w:divBdr>
            <w:top w:val="none" w:sz="0" w:space="0" w:color="auto"/>
            <w:left w:val="none" w:sz="0" w:space="0" w:color="auto"/>
            <w:bottom w:val="none" w:sz="0" w:space="0" w:color="auto"/>
            <w:right w:val="none" w:sz="0" w:space="0" w:color="auto"/>
          </w:divBdr>
          <w:divsChild>
            <w:div w:id="1475370499">
              <w:marLeft w:val="0"/>
              <w:marRight w:val="0"/>
              <w:marTop w:val="0"/>
              <w:marBottom w:val="0"/>
              <w:divBdr>
                <w:top w:val="none" w:sz="0" w:space="0" w:color="auto"/>
                <w:left w:val="none" w:sz="0" w:space="0" w:color="auto"/>
                <w:bottom w:val="none" w:sz="0" w:space="0" w:color="auto"/>
                <w:right w:val="none" w:sz="0" w:space="0" w:color="auto"/>
              </w:divBdr>
              <w:divsChild>
                <w:div w:id="1424453295">
                  <w:marLeft w:val="0"/>
                  <w:marRight w:val="0"/>
                  <w:marTop w:val="0"/>
                  <w:marBottom w:val="0"/>
                  <w:divBdr>
                    <w:top w:val="none" w:sz="0" w:space="0" w:color="auto"/>
                    <w:left w:val="none" w:sz="0" w:space="0" w:color="auto"/>
                    <w:bottom w:val="none" w:sz="0" w:space="0" w:color="auto"/>
                    <w:right w:val="none" w:sz="0" w:space="0" w:color="auto"/>
                  </w:divBdr>
                  <w:divsChild>
                    <w:div w:id="1838381620">
                      <w:marLeft w:val="0"/>
                      <w:marRight w:val="0"/>
                      <w:marTop w:val="0"/>
                      <w:marBottom w:val="0"/>
                      <w:divBdr>
                        <w:top w:val="none" w:sz="0" w:space="0" w:color="auto"/>
                        <w:left w:val="none" w:sz="0" w:space="0" w:color="auto"/>
                        <w:bottom w:val="none" w:sz="0" w:space="0" w:color="auto"/>
                        <w:right w:val="none" w:sz="0" w:space="0" w:color="auto"/>
                      </w:divBdr>
                      <w:divsChild>
                        <w:div w:id="1945649363">
                          <w:marLeft w:val="0"/>
                          <w:marRight w:val="0"/>
                          <w:marTop w:val="0"/>
                          <w:marBottom w:val="0"/>
                          <w:divBdr>
                            <w:top w:val="none" w:sz="0" w:space="0" w:color="auto"/>
                            <w:left w:val="none" w:sz="0" w:space="0" w:color="auto"/>
                            <w:bottom w:val="none" w:sz="0" w:space="0" w:color="auto"/>
                            <w:right w:val="none" w:sz="0" w:space="0" w:color="auto"/>
                          </w:divBdr>
                          <w:divsChild>
                            <w:div w:id="878929690">
                              <w:marLeft w:val="0"/>
                              <w:marRight w:val="0"/>
                              <w:marTop w:val="0"/>
                              <w:marBottom w:val="0"/>
                              <w:divBdr>
                                <w:top w:val="none" w:sz="0" w:space="0" w:color="auto"/>
                                <w:left w:val="none" w:sz="0" w:space="0" w:color="auto"/>
                                <w:bottom w:val="none" w:sz="0" w:space="0" w:color="auto"/>
                                <w:right w:val="none" w:sz="0" w:space="0" w:color="auto"/>
                              </w:divBdr>
                              <w:divsChild>
                                <w:div w:id="266431587">
                                  <w:marLeft w:val="0"/>
                                  <w:marRight w:val="0"/>
                                  <w:marTop w:val="0"/>
                                  <w:marBottom w:val="0"/>
                                  <w:divBdr>
                                    <w:top w:val="none" w:sz="0" w:space="0" w:color="auto"/>
                                    <w:left w:val="none" w:sz="0" w:space="0" w:color="auto"/>
                                    <w:bottom w:val="none" w:sz="0" w:space="0" w:color="auto"/>
                                    <w:right w:val="none" w:sz="0" w:space="0" w:color="auto"/>
                                  </w:divBdr>
                                  <w:divsChild>
                                    <w:div w:id="129713634">
                                      <w:marLeft w:val="0"/>
                                      <w:marRight w:val="0"/>
                                      <w:marTop w:val="0"/>
                                      <w:marBottom w:val="0"/>
                                      <w:divBdr>
                                        <w:top w:val="none" w:sz="0" w:space="0" w:color="auto"/>
                                        <w:left w:val="none" w:sz="0" w:space="0" w:color="auto"/>
                                        <w:bottom w:val="none" w:sz="0" w:space="0" w:color="auto"/>
                                        <w:right w:val="none" w:sz="0" w:space="0" w:color="auto"/>
                                      </w:divBdr>
                                      <w:divsChild>
                                        <w:div w:id="555121216">
                                          <w:marLeft w:val="0"/>
                                          <w:marRight w:val="0"/>
                                          <w:marTop w:val="0"/>
                                          <w:marBottom w:val="0"/>
                                          <w:divBdr>
                                            <w:top w:val="none" w:sz="0" w:space="0" w:color="auto"/>
                                            <w:left w:val="none" w:sz="0" w:space="0" w:color="auto"/>
                                            <w:bottom w:val="none" w:sz="0" w:space="0" w:color="auto"/>
                                            <w:right w:val="none" w:sz="0" w:space="0" w:color="auto"/>
                                          </w:divBdr>
                                          <w:divsChild>
                                            <w:div w:id="2072999608">
                                              <w:marLeft w:val="0"/>
                                              <w:marRight w:val="0"/>
                                              <w:marTop w:val="0"/>
                                              <w:marBottom w:val="0"/>
                                              <w:divBdr>
                                                <w:top w:val="none" w:sz="0" w:space="0" w:color="auto"/>
                                                <w:left w:val="none" w:sz="0" w:space="0" w:color="auto"/>
                                                <w:bottom w:val="none" w:sz="0" w:space="0" w:color="auto"/>
                                                <w:right w:val="none" w:sz="0" w:space="0" w:color="auto"/>
                                              </w:divBdr>
                                              <w:divsChild>
                                                <w:div w:id="1747873346">
                                                  <w:marLeft w:val="0"/>
                                                  <w:marRight w:val="0"/>
                                                  <w:marTop w:val="0"/>
                                                  <w:marBottom w:val="0"/>
                                                  <w:divBdr>
                                                    <w:top w:val="none" w:sz="0" w:space="0" w:color="auto"/>
                                                    <w:left w:val="none" w:sz="0" w:space="0" w:color="auto"/>
                                                    <w:bottom w:val="none" w:sz="0" w:space="0" w:color="auto"/>
                                                    <w:right w:val="none" w:sz="0" w:space="0" w:color="auto"/>
                                                  </w:divBdr>
                                                  <w:divsChild>
                                                    <w:div w:id="1117338848">
                                                      <w:marLeft w:val="0"/>
                                                      <w:marRight w:val="0"/>
                                                      <w:marTop w:val="0"/>
                                                      <w:marBottom w:val="0"/>
                                                      <w:divBdr>
                                                        <w:top w:val="none" w:sz="0" w:space="0" w:color="auto"/>
                                                        <w:left w:val="none" w:sz="0" w:space="0" w:color="auto"/>
                                                        <w:bottom w:val="none" w:sz="0" w:space="0" w:color="auto"/>
                                                        <w:right w:val="none" w:sz="0" w:space="0" w:color="auto"/>
                                                      </w:divBdr>
                                                      <w:divsChild>
                                                        <w:div w:id="146095317">
                                                          <w:marLeft w:val="0"/>
                                                          <w:marRight w:val="0"/>
                                                          <w:marTop w:val="0"/>
                                                          <w:marBottom w:val="0"/>
                                                          <w:divBdr>
                                                            <w:top w:val="none" w:sz="0" w:space="0" w:color="auto"/>
                                                            <w:left w:val="none" w:sz="0" w:space="0" w:color="auto"/>
                                                            <w:bottom w:val="none" w:sz="0" w:space="0" w:color="auto"/>
                                                            <w:right w:val="none" w:sz="0" w:space="0" w:color="auto"/>
                                                          </w:divBdr>
                                                          <w:divsChild>
                                                            <w:div w:id="981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0931762">
      <w:bodyDiv w:val="1"/>
      <w:marLeft w:val="0"/>
      <w:marRight w:val="0"/>
      <w:marTop w:val="0"/>
      <w:marBottom w:val="0"/>
      <w:divBdr>
        <w:top w:val="none" w:sz="0" w:space="0" w:color="auto"/>
        <w:left w:val="none" w:sz="0" w:space="0" w:color="auto"/>
        <w:bottom w:val="none" w:sz="0" w:space="0" w:color="auto"/>
        <w:right w:val="none" w:sz="0" w:space="0" w:color="auto"/>
      </w:divBdr>
      <w:divsChild>
        <w:div w:id="858157654">
          <w:marLeft w:val="0"/>
          <w:marRight w:val="0"/>
          <w:marTop w:val="0"/>
          <w:marBottom w:val="0"/>
          <w:divBdr>
            <w:top w:val="none" w:sz="0" w:space="0" w:color="auto"/>
            <w:left w:val="none" w:sz="0" w:space="0" w:color="auto"/>
            <w:bottom w:val="none" w:sz="0" w:space="0" w:color="auto"/>
            <w:right w:val="none" w:sz="0" w:space="0" w:color="auto"/>
          </w:divBdr>
          <w:divsChild>
            <w:div w:id="4476568">
              <w:marLeft w:val="0"/>
              <w:marRight w:val="0"/>
              <w:marTop w:val="0"/>
              <w:marBottom w:val="0"/>
              <w:divBdr>
                <w:top w:val="none" w:sz="0" w:space="0" w:color="auto"/>
                <w:left w:val="none" w:sz="0" w:space="0" w:color="auto"/>
                <w:bottom w:val="none" w:sz="0" w:space="0" w:color="auto"/>
                <w:right w:val="none" w:sz="0" w:space="0" w:color="auto"/>
              </w:divBdr>
              <w:divsChild>
                <w:div w:id="120463622">
                  <w:marLeft w:val="0"/>
                  <w:marRight w:val="0"/>
                  <w:marTop w:val="0"/>
                  <w:marBottom w:val="0"/>
                  <w:divBdr>
                    <w:top w:val="none" w:sz="0" w:space="0" w:color="auto"/>
                    <w:left w:val="none" w:sz="0" w:space="0" w:color="auto"/>
                    <w:bottom w:val="none" w:sz="0" w:space="0" w:color="auto"/>
                    <w:right w:val="none" w:sz="0" w:space="0" w:color="auto"/>
                  </w:divBdr>
                  <w:divsChild>
                    <w:div w:id="413237200">
                      <w:marLeft w:val="0"/>
                      <w:marRight w:val="0"/>
                      <w:marTop w:val="0"/>
                      <w:marBottom w:val="0"/>
                      <w:divBdr>
                        <w:top w:val="none" w:sz="0" w:space="0" w:color="auto"/>
                        <w:left w:val="none" w:sz="0" w:space="0" w:color="auto"/>
                        <w:bottom w:val="none" w:sz="0" w:space="0" w:color="auto"/>
                        <w:right w:val="none" w:sz="0" w:space="0" w:color="auto"/>
                      </w:divBdr>
                      <w:divsChild>
                        <w:div w:id="1924412330">
                          <w:marLeft w:val="0"/>
                          <w:marRight w:val="0"/>
                          <w:marTop w:val="0"/>
                          <w:marBottom w:val="0"/>
                          <w:divBdr>
                            <w:top w:val="none" w:sz="0" w:space="0" w:color="auto"/>
                            <w:left w:val="none" w:sz="0" w:space="0" w:color="auto"/>
                            <w:bottom w:val="none" w:sz="0" w:space="0" w:color="auto"/>
                            <w:right w:val="none" w:sz="0" w:space="0" w:color="auto"/>
                          </w:divBdr>
                          <w:divsChild>
                            <w:div w:id="1236866266">
                              <w:marLeft w:val="0"/>
                              <w:marRight w:val="0"/>
                              <w:marTop w:val="0"/>
                              <w:marBottom w:val="0"/>
                              <w:divBdr>
                                <w:top w:val="none" w:sz="0" w:space="0" w:color="auto"/>
                                <w:left w:val="none" w:sz="0" w:space="0" w:color="auto"/>
                                <w:bottom w:val="none" w:sz="0" w:space="0" w:color="auto"/>
                                <w:right w:val="none" w:sz="0" w:space="0" w:color="auto"/>
                              </w:divBdr>
                              <w:divsChild>
                                <w:div w:id="922955698">
                                  <w:marLeft w:val="0"/>
                                  <w:marRight w:val="0"/>
                                  <w:marTop w:val="0"/>
                                  <w:marBottom w:val="0"/>
                                  <w:divBdr>
                                    <w:top w:val="none" w:sz="0" w:space="0" w:color="auto"/>
                                    <w:left w:val="none" w:sz="0" w:space="0" w:color="auto"/>
                                    <w:bottom w:val="none" w:sz="0" w:space="0" w:color="auto"/>
                                    <w:right w:val="none" w:sz="0" w:space="0" w:color="auto"/>
                                  </w:divBdr>
                                  <w:divsChild>
                                    <w:div w:id="1009142464">
                                      <w:marLeft w:val="0"/>
                                      <w:marRight w:val="0"/>
                                      <w:marTop w:val="0"/>
                                      <w:marBottom w:val="0"/>
                                      <w:divBdr>
                                        <w:top w:val="none" w:sz="0" w:space="0" w:color="auto"/>
                                        <w:left w:val="none" w:sz="0" w:space="0" w:color="auto"/>
                                        <w:bottom w:val="none" w:sz="0" w:space="0" w:color="auto"/>
                                        <w:right w:val="none" w:sz="0" w:space="0" w:color="auto"/>
                                      </w:divBdr>
                                      <w:divsChild>
                                        <w:div w:id="1052313068">
                                          <w:marLeft w:val="0"/>
                                          <w:marRight w:val="0"/>
                                          <w:marTop w:val="0"/>
                                          <w:marBottom w:val="0"/>
                                          <w:divBdr>
                                            <w:top w:val="none" w:sz="0" w:space="0" w:color="auto"/>
                                            <w:left w:val="none" w:sz="0" w:space="0" w:color="auto"/>
                                            <w:bottom w:val="none" w:sz="0" w:space="0" w:color="auto"/>
                                            <w:right w:val="none" w:sz="0" w:space="0" w:color="auto"/>
                                          </w:divBdr>
                                          <w:divsChild>
                                            <w:div w:id="1077282961">
                                              <w:marLeft w:val="0"/>
                                              <w:marRight w:val="0"/>
                                              <w:marTop w:val="0"/>
                                              <w:marBottom w:val="0"/>
                                              <w:divBdr>
                                                <w:top w:val="none" w:sz="0" w:space="0" w:color="auto"/>
                                                <w:left w:val="none" w:sz="0" w:space="0" w:color="auto"/>
                                                <w:bottom w:val="none" w:sz="0" w:space="0" w:color="auto"/>
                                                <w:right w:val="none" w:sz="0" w:space="0" w:color="auto"/>
                                              </w:divBdr>
                                              <w:divsChild>
                                                <w:div w:id="379130813">
                                                  <w:marLeft w:val="0"/>
                                                  <w:marRight w:val="0"/>
                                                  <w:marTop w:val="0"/>
                                                  <w:marBottom w:val="0"/>
                                                  <w:divBdr>
                                                    <w:top w:val="none" w:sz="0" w:space="0" w:color="auto"/>
                                                    <w:left w:val="none" w:sz="0" w:space="0" w:color="auto"/>
                                                    <w:bottom w:val="none" w:sz="0" w:space="0" w:color="auto"/>
                                                    <w:right w:val="none" w:sz="0" w:space="0" w:color="auto"/>
                                                  </w:divBdr>
                                                  <w:divsChild>
                                                    <w:div w:id="706101597">
                                                      <w:marLeft w:val="0"/>
                                                      <w:marRight w:val="0"/>
                                                      <w:marTop w:val="0"/>
                                                      <w:marBottom w:val="0"/>
                                                      <w:divBdr>
                                                        <w:top w:val="none" w:sz="0" w:space="0" w:color="auto"/>
                                                        <w:left w:val="none" w:sz="0" w:space="0" w:color="auto"/>
                                                        <w:bottom w:val="none" w:sz="0" w:space="0" w:color="auto"/>
                                                        <w:right w:val="none" w:sz="0" w:space="0" w:color="auto"/>
                                                      </w:divBdr>
                                                      <w:divsChild>
                                                        <w:div w:id="362026584">
                                                          <w:marLeft w:val="0"/>
                                                          <w:marRight w:val="0"/>
                                                          <w:marTop w:val="0"/>
                                                          <w:marBottom w:val="0"/>
                                                          <w:divBdr>
                                                            <w:top w:val="none" w:sz="0" w:space="0" w:color="auto"/>
                                                            <w:left w:val="none" w:sz="0" w:space="0" w:color="auto"/>
                                                            <w:bottom w:val="none" w:sz="0" w:space="0" w:color="auto"/>
                                                            <w:right w:val="none" w:sz="0" w:space="0" w:color="auto"/>
                                                          </w:divBdr>
                                                          <w:divsChild>
                                                            <w:div w:id="396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166304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99">
          <w:marLeft w:val="0"/>
          <w:marRight w:val="0"/>
          <w:marTop w:val="0"/>
          <w:marBottom w:val="0"/>
          <w:divBdr>
            <w:top w:val="none" w:sz="0" w:space="0" w:color="auto"/>
            <w:left w:val="none" w:sz="0" w:space="0" w:color="auto"/>
            <w:bottom w:val="none" w:sz="0" w:space="0" w:color="auto"/>
            <w:right w:val="none" w:sz="0" w:space="0" w:color="auto"/>
          </w:divBdr>
          <w:divsChild>
            <w:div w:id="739405213">
              <w:marLeft w:val="0"/>
              <w:marRight w:val="0"/>
              <w:marTop w:val="0"/>
              <w:marBottom w:val="0"/>
              <w:divBdr>
                <w:top w:val="none" w:sz="0" w:space="0" w:color="auto"/>
                <w:left w:val="none" w:sz="0" w:space="0" w:color="auto"/>
                <w:bottom w:val="none" w:sz="0" w:space="0" w:color="auto"/>
                <w:right w:val="none" w:sz="0" w:space="0" w:color="auto"/>
              </w:divBdr>
              <w:divsChild>
                <w:div w:id="1051226678">
                  <w:marLeft w:val="0"/>
                  <w:marRight w:val="0"/>
                  <w:marTop w:val="0"/>
                  <w:marBottom w:val="0"/>
                  <w:divBdr>
                    <w:top w:val="none" w:sz="0" w:space="0" w:color="auto"/>
                    <w:left w:val="none" w:sz="0" w:space="0" w:color="auto"/>
                    <w:bottom w:val="none" w:sz="0" w:space="0" w:color="auto"/>
                    <w:right w:val="none" w:sz="0" w:space="0" w:color="auto"/>
                  </w:divBdr>
                  <w:divsChild>
                    <w:div w:id="446437429">
                      <w:marLeft w:val="0"/>
                      <w:marRight w:val="0"/>
                      <w:marTop w:val="0"/>
                      <w:marBottom w:val="0"/>
                      <w:divBdr>
                        <w:top w:val="none" w:sz="0" w:space="0" w:color="auto"/>
                        <w:left w:val="none" w:sz="0" w:space="0" w:color="auto"/>
                        <w:bottom w:val="none" w:sz="0" w:space="0" w:color="auto"/>
                        <w:right w:val="none" w:sz="0" w:space="0" w:color="auto"/>
                      </w:divBdr>
                      <w:divsChild>
                        <w:div w:id="1448744368">
                          <w:marLeft w:val="0"/>
                          <w:marRight w:val="0"/>
                          <w:marTop w:val="0"/>
                          <w:marBottom w:val="0"/>
                          <w:divBdr>
                            <w:top w:val="none" w:sz="0" w:space="0" w:color="auto"/>
                            <w:left w:val="none" w:sz="0" w:space="0" w:color="auto"/>
                            <w:bottom w:val="none" w:sz="0" w:space="0" w:color="auto"/>
                            <w:right w:val="none" w:sz="0" w:space="0" w:color="auto"/>
                          </w:divBdr>
                          <w:divsChild>
                            <w:div w:id="1756396371">
                              <w:marLeft w:val="0"/>
                              <w:marRight w:val="0"/>
                              <w:marTop w:val="0"/>
                              <w:marBottom w:val="0"/>
                              <w:divBdr>
                                <w:top w:val="none" w:sz="0" w:space="0" w:color="auto"/>
                                <w:left w:val="none" w:sz="0" w:space="0" w:color="auto"/>
                                <w:bottom w:val="none" w:sz="0" w:space="0" w:color="auto"/>
                                <w:right w:val="none" w:sz="0" w:space="0" w:color="auto"/>
                              </w:divBdr>
                              <w:divsChild>
                                <w:div w:id="2036421727">
                                  <w:marLeft w:val="0"/>
                                  <w:marRight w:val="0"/>
                                  <w:marTop w:val="0"/>
                                  <w:marBottom w:val="0"/>
                                  <w:divBdr>
                                    <w:top w:val="none" w:sz="0" w:space="0" w:color="auto"/>
                                    <w:left w:val="none" w:sz="0" w:space="0" w:color="auto"/>
                                    <w:bottom w:val="none" w:sz="0" w:space="0" w:color="auto"/>
                                    <w:right w:val="none" w:sz="0" w:space="0" w:color="auto"/>
                                  </w:divBdr>
                                  <w:divsChild>
                                    <w:div w:id="1902713901">
                                      <w:marLeft w:val="0"/>
                                      <w:marRight w:val="0"/>
                                      <w:marTop w:val="0"/>
                                      <w:marBottom w:val="0"/>
                                      <w:divBdr>
                                        <w:top w:val="none" w:sz="0" w:space="0" w:color="auto"/>
                                        <w:left w:val="none" w:sz="0" w:space="0" w:color="auto"/>
                                        <w:bottom w:val="none" w:sz="0" w:space="0" w:color="auto"/>
                                        <w:right w:val="none" w:sz="0" w:space="0" w:color="auto"/>
                                      </w:divBdr>
                                      <w:divsChild>
                                        <w:div w:id="1911109385">
                                          <w:marLeft w:val="0"/>
                                          <w:marRight w:val="0"/>
                                          <w:marTop w:val="0"/>
                                          <w:marBottom w:val="0"/>
                                          <w:divBdr>
                                            <w:top w:val="none" w:sz="0" w:space="0" w:color="auto"/>
                                            <w:left w:val="none" w:sz="0" w:space="0" w:color="auto"/>
                                            <w:bottom w:val="none" w:sz="0" w:space="0" w:color="auto"/>
                                            <w:right w:val="none" w:sz="0" w:space="0" w:color="auto"/>
                                          </w:divBdr>
                                          <w:divsChild>
                                            <w:div w:id="500244412">
                                              <w:marLeft w:val="0"/>
                                              <w:marRight w:val="0"/>
                                              <w:marTop w:val="0"/>
                                              <w:marBottom w:val="0"/>
                                              <w:divBdr>
                                                <w:top w:val="none" w:sz="0" w:space="0" w:color="auto"/>
                                                <w:left w:val="none" w:sz="0" w:space="0" w:color="auto"/>
                                                <w:bottom w:val="none" w:sz="0" w:space="0" w:color="auto"/>
                                                <w:right w:val="none" w:sz="0" w:space="0" w:color="auto"/>
                                              </w:divBdr>
                                              <w:divsChild>
                                                <w:div w:id="2096515498">
                                                  <w:marLeft w:val="0"/>
                                                  <w:marRight w:val="0"/>
                                                  <w:marTop w:val="0"/>
                                                  <w:marBottom w:val="0"/>
                                                  <w:divBdr>
                                                    <w:top w:val="none" w:sz="0" w:space="0" w:color="auto"/>
                                                    <w:left w:val="none" w:sz="0" w:space="0" w:color="auto"/>
                                                    <w:bottom w:val="none" w:sz="0" w:space="0" w:color="auto"/>
                                                    <w:right w:val="none" w:sz="0" w:space="0" w:color="auto"/>
                                                  </w:divBdr>
                                                  <w:divsChild>
                                                    <w:div w:id="908416666">
                                                      <w:marLeft w:val="0"/>
                                                      <w:marRight w:val="0"/>
                                                      <w:marTop w:val="0"/>
                                                      <w:marBottom w:val="0"/>
                                                      <w:divBdr>
                                                        <w:top w:val="none" w:sz="0" w:space="0" w:color="auto"/>
                                                        <w:left w:val="none" w:sz="0" w:space="0" w:color="auto"/>
                                                        <w:bottom w:val="none" w:sz="0" w:space="0" w:color="auto"/>
                                                        <w:right w:val="none" w:sz="0" w:space="0" w:color="auto"/>
                                                      </w:divBdr>
                                                      <w:divsChild>
                                                        <w:div w:id="1274023398">
                                                          <w:marLeft w:val="0"/>
                                                          <w:marRight w:val="0"/>
                                                          <w:marTop w:val="0"/>
                                                          <w:marBottom w:val="0"/>
                                                          <w:divBdr>
                                                            <w:top w:val="none" w:sz="0" w:space="0" w:color="auto"/>
                                                            <w:left w:val="none" w:sz="0" w:space="0" w:color="auto"/>
                                                            <w:bottom w:val="none" w:sz="0" w:space="0" w:color="auto"/>
                                                            <w:right w:val="none" w:sz="0" w:space="0" w:color="auto"/>
                                                          </w:divBdr>
                                                          <w:divsChild>
                                                            <w:div w:id="19138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esma70-1861941480-52_qa_on_emir_implementation.pdf" TargetMode="External"/><Relationship Id="rId3" Type="http://schemas.openxmlformats.org/officeDocument/2006/relationships/settings" Target="settings.xml"/><Relationship Id="rId7" Type="http://schemas.openxmlformats.org/officeDocument/2006/relationships/hyperlink" Target="https://www.esma.europa.eu/sites/default/files/library/esma70-1861941480-52_qa_on_emir_implemen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ma.europa.eu/sites/default/files/library/esma70-1861941480-52_qa_on_emir_implemen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13121</Characters>
  <Application>Microsoft Office Word</Application>
  <DocSecurity>0</DocSecurity>
  <Lines>109</Lines>
  <Paragraphs>30</Paragraphs>
  <ScaleCrop>false</ScaleCrop>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2023-01-10T12:19:00Z</dcterms:created>
  <dcterms:modified xsi:type="dcterms:W3CDTF">2023-01-10T12:19:00Z</dcterms:modified>
</cp:coreProperties>
</file>