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A8DF" w14:textId="77777777" w:rsidR="00C228A9" w:rsidRDefault="00CE2846">
      <w:pPr>
        <w:spacing w:after="0"/>
        <w:jc w:val="both"/>
        <w:rPr>
          <w:color w:val="FF0000"/>
          <w:szCs w:val="22"/>
        </w:rPr>
      </w:pPr>
      <w:r>
        <w:rPr>
          <w:color w:val="FF0000"/>
          <w:szCs w:val="22"/>
        </w:rPr>
        <w:t>Otázky a odpovede určené poskytovateľom a distribútorom celoeurópskeho osobného dôchodkového produktu:</w:t>
      </w:r>
    </w:p>
    <w:p w14:paraId="1ECF1E9F" w14:textId="77777777" w:rsidR="00C228A9" w:rsidRDefault="00C228A9">
      <w:pPr>
        <w:spacing w:after="0"/>
        <w:jc w:val="both"/>
        <w:rPr>
          <w:szCs w:val="22"/>
        </w:rPr>
      </w:pPr>
    </w:p>
    <w:p w14:paraId="0AD688AA" w14:textId="77777777" w:rsidR="00C228A9" w:rsidRDefault="00CE2846">
      <w:pPr>
        <w:autoSpaceDE w:val="0"/>
        <w:spacing w:after="0"/>
        <w:jc w:val="both"/>
        <w:rPr>
          <w:rFonts w:cs="CIDFont+F6"/>
          <w:b/>
          <w:bCs/>
          <w:i/>
          <w:iCs/>
          <w:szCs w:val="22"/>
        </w:rPr>
      </w:pPr>
      <w:r>
        <w:rPr>
          <w:rFonts w:cs="CIDFont+F6"/>
          <w:b/>
          <w:bCs/>
          <w:i/>
          <w:iCs/>
          <w:szCs w:val="22"/>
        </w:rPr>
        <w:t xml:space="preserve">Ako by mal poskytovateľ PEPP v rámci predzmluvnej fázy odprezentovať individualizované prognózy pred samotným uzatvorením zmluvy </w:t>
      </w:r>
      <w:r>
        <w:rPr>
          <w:rFonts w:cs="CIDFont+F6"/>
          <w:b/>
          <w:bCs/>
          <w:i/>
          <w:iCs/>
          <w:szCs w:val="22"/>
        </w:rPr>
        <w:t>o PEPP? Je tento druh dokumentu priamo upravený?</w:t>
      </w:r>
    </w:p>
    <w:p w14:paraId="63459F7F" w14:textId="77777777" w:rsidR="00C228A9" w:rsidRDefault="00C228A9">
      <w:pPr>
        <w:autoSpaceDE w:val="0"/>
        <w:spacing w:after="0"/>
        <w:jc w:val="both"/>
        <w:rPr>
          <w:rFonts w:cs="CIDFont+F6"/>
          <w:szCs w:val="22"/>
        </w:rPr>
      </w:pPr>
    </w:p>
    <w:p w14:paraId="0104BEC1" w14:textId="77777777" w:rsidR="00C228A9" w:rsidRDefault="00CE2846">
      <w:pPr>
        <w:autoSpaceDE w:val="0"/>
        <w:spacing w:after="0"/>
        <w:jc w:val="both"/>
        <w:rPr>
          <w:rFonts w:cs="CIDFont+F6"/>
          <w:szCs w:val="22"/>
        </w:rPr>
      </w:pPr>
      <w:r>
        <w:rPr>
          <w:rFonts w:cs="CIDFont+F6"/>
          <w:szCs w:val="22"/>
        </w:rPr>
        <w:t>Vzhľadom na skutočnosť, že tento druh dokumentu nie je nariadením o PEPP explicitne upravený, má poskytovateľ voľnosť pri jeho vytváraní a dizajnovaní rozsahu informácií poskytovaných potenciálnemu sporiteľ</w:t>
      </w:r>
      <w:r>
        <w:rPr>
          <w:rFonts w:cs="CIDFont+F6"/>
          <w:szCs w:val="22"/>
        </w:rPr>
        <w:t>ovi PEPP, pričom musí rešpektovať zmysel a účel prognóz.</w:t>
      </w:r>
    </w:p>
    <w:p w14:paraId="2E16B001" w14:textId="77777777" w:rsidR="00C228A9" w:rsidRDefault="00C228A9">
      <w:pPr>
        <w:autoSpaceDE w:val="0"/>
        <w:spacing w:after="0"/>
        <w:rPr>
          <w:rFonts w:cs="CIDFont+F6"/>
          <w:szCs w:val="22"/>
        </w:rPr>
      </w:pPr>
    </w:p>
    <w:p w14:paraId="376AF18E" w14:textId="77777777" w:rsidR="00C228A9" w:rsidRDefault="00CE2846">
      <w:pPr>
        <w:autoSpaceDE w:val="0"/>
        <w:spacing w:after="0"/>
        <w:jc w:val="both"/>
      </w:pPr>
      <w:r>
        <w:rPr>
          <w:rFonts w:cs="CIDFont+F5"/>
          <w:szCs w:val="22"/>
        </w:rPr>
        <w:t xml:space="preserve">Prognózy budúceho dôchodkového príjmu sú dôležité pre to, aby spotrebitelia ako potenciálni sporitelia pochopili PEPP a jeho vhodnosť pre individuálne dôchodkové ciele. </w:t>
      </w:r>
      <w:r>
        <w:rPr>
          <w:rFonts w:cs="CIDFont+F4"/>
          <w:szCs w:val="22"/>
        </w:rPr>
        <w:t>V samotnom nariadení o PEPP a</w:t>
      </w:r>
      <w:r>
        <w:rPr>
          <w:rFonts w:cs="CIDFont+F4"/>
          <w:szCs w:val="22"/>
        </w:rPr>
        <w:t>ni v nadväzujúcich delegovaných nariadeniach nie je stanovené ako zobrazovať dôchodkové prognózy na individualizovanej báze pre konkrétneho potenciálneho sporiteľa PEPP.</w:t>
      </w:r>
    </w:p>
    <w:p w14:paraId="1CC195BD" w14:textId="77777777" w:rsidR="00C228A9" w:rsidRDefault="00C228A9">
      <w:pPr>
        <w:autoSpaceDE w:val="0"/>
        <w:spacing w:after="0"/>
        <w:jc w:val="both"/>
        <w:rPr>
          <w:rFonts w:cs="CIDFont+F4"/>
          <w:szCs w:val="22"/>
        </w:rPr>
      </w:pPr>
    </w:p>
    <w:p w14:paraId="499A37D8" w14:textId="77777777" w:rsidR="00C228A9" w:rsidRDefault="00CE2846">
      <w:pPr>
        <w:autoSpaceDE w:val="0"/>
        <w:spacing w:after="0"/>
        <w:jc w:val="both"/>
        <w:rPr>
          <w:rFonts w:cs="CIDFont+F4"/>
          <w:szCs w:val="22"/>
        </w:rPr>
      </w:pPr>
      <w:r>
        <w:rPr>
          <w:rFonts w:cs="CIDFont+F4"/>
          <w:szCs w:val="22"/>
        </w:rPr>
        <w:t>Delegované nariadenie Komisie (EÚ) 2021/473 z 18. decembra 2020, ktorým sa dopĺňa nar</w:t>
      </w:r>
      <w:r>
        <w:rPr>
          <w:rFonts w:cs="CIDFont+F4"/>
          <w:szCs w:val="22"/>
        </w:rPr>
        <w:t>iadenie Európskeho parlamentu a Rady (EÚ) 2019/1238, pokiaľ ide o regulačné technické predpisy, ktorými sa bližšie určujú požiadavky na informačné dokumenty, náklady a poplatky zahrnuté do cenového stropu a techniky zmierňovania rizík pre celoeurópsky osob</w:t>
      </w:r>
      <w:r>
        <w:rPr>
          <w:rFonts w:cs="CIDFont+F4"/>
          <w:szCs w:val="22"/>
        </w:rPr>
        <w:t>ný dôchodkový produkt, upravuje spôsob prezentácie prognóz prostredníctvom predzmluvného dokumentu PEPP KID, v rámci ktorého sa však zobrazujú dôchodkové prognózy všeobecných sporiteľov PEPP upravené o infláciu s vymedzenými sporiacimi obdobiami a štandard</w:t>
      </w:r>
      <w:r>
        <w:rPr>
          <w:rFonts w:cs="CIDFont+F4"/>
          <w:szCs w:val="22"/>
        </w:rPr>
        <w:t>izovanými príspevkami, a prostredníctvom výkazu dávok PEPP, ktorý je však určený už pre existujúcich sporiteľov zohľadňujúcich reálne príspevky. Na základe uvedeného teda nie je definované, ako realizovať individualizovanú prognózu pre potenciálnych sporit</w:t>
      </w:r>
      <w:r>
        <w:rPr>
          <w:rFonts w:cs="CIDFont+F4"/>
          <w:szCs w:val="22"/>
        </w:rPr>
        <w:t>eľov.</w:t>
      </w:r>
    </w:p>
    <w:p w14:paraId="3C5D3E8C" w14:textId="77777777" w:rsidR="00C228A9" w:rsidRDefault="00C228A9">
      <w:pPr>
        <w:autoSpaceDE w:val="0"/>
        <w:spacing w:after="0"/>
        <w:jc w:val="both"/>
        <w:rPr>
          <w:rFonts w:cs="CIDFont+F4"/>
          <w:szCs w:val="22"/>
        </w:rPr>
      </w:pPr>
    </w:p>
    <w:p w14:paraId="60355BF8" w14:textId="77777777" w:rsidR="00C228A9" w:rsidRDefault="00CE2846">
      <w:pPr>
        <w:autoSpaceDE w:val="0"/>
        <w:spacing w:after="0"/>
        <w:jc w:val="both"/>
      </w:pPr>
      <w:r>
        <w:rPr>
          <w:rFonts w:cs="CIDFont+F4"/>
          <w:szCs w:val="22"/>
        </w:rPr>
        <w:t xml:space="preserve">PEPP KID je preto navrhnutý tak, aby poskytoval informácie užitočné pre prijímanie rozhodnutí o úsporách v rámci PEPP zrozumiteľným a spoľahlivým spôsobom, </w:t>
      </w:r>
      <w:r>
        <w:rPr>
          <w:rFonts w:cs="CIDFont+F5"/>
          <w:szCs w:val="22"/>
        </w:rPr>
        <w:t>preto je kľúčové zohľadniť zásady pre poskytovanie PEPP KID a výkaz dávok PEPP aj v prípade u</w:t>
      </w:r>
      <w:r>
        <w:rPr>
          <w:rFonts w:cs="CIDFont+F5"/>
          <w:szCs w:val="22"/>
        </w:rPr>
        <w:t>platnenia voľnosti pri dizajne aj rozsahu informácií poskytnutých potenciálnemu sporiteľovi PEPP podľa čl. 34 ods. 2 nariadenie o PEPP.</w:t>
      </w:r>
    </w:p>
    <w:p w14:paraId="7A16347F" w14:textId="77777777" w:rsidR="00C228A9" w:rsidRDefault="00C228A9">
      <w:pPr>
        <w:autoSpaceDE w:val="0"/>
        <w:spacing w:after="0"/>
        <w:jc w:val="both"/>
        <w:rPr>
          <w:rFonts w:cs="CIDFont+F5"/>
          <w:szCs w:val="22"/>
        </w:rPr>
      </w:pPr>
    </w:p>
    <w:p w14:paraId="40E8F28F" w14:textId="77777777" w:rsidR="00C228A9" w:rsidRDefault="00CE2846">
      <w:pPr>
        <w:autoSpaceDE w:val="0"/>
        <w:spacing w:after="0"/>
        <w:jc w:val="both"/>
        <w:rPr>
          <w:rFonts w:cs="CIDFont+F5"/>
          <w:b/>
          <w:bCs/>
          <w:i/>
          <w:iCs/>
          <w:szCs w:val="22"/>
        </w:rPr>
      </w:pPr>
      <w:r>
        <w:rPr>
          <w:rFonts w:cs="CIDFont+F5"/>
          <w:b/>
          <w:bCs/>
          <w:i/>
          <w:iCs/>
          <w:szCs w:val="22"/>
        </w:rPr>
        <w:t>Je možné produkt PEPP označiť doplnkovým názvom zachytávajúcim cielené trhy? Je možné pripojiť k registrovanému produkt</w:t>
      </w:r>
      <w:r>
        <w:rPr>
          <w:rFonts w:cs="CIDFont+F5"/>
          <w:b/>
          <w:bCs/>
          <w:i/>
          <w:iCs/>
          <w:szCs w:val="22"/>
        </w:rPr>
        <w:t>u PEPP viac doplnkových názvov a tým zabezpečiť viac PEPP KID dokumentov k jednému produktu PEPP?</w:t>
      </w:r>
    </w:p>
    <w:p w14:paraId="43AE2CB1" w14:textId="77777777" w:rsidR="00C228A9" w:rsidRDefault="00C228A9">
      <w:pPr>
        <w:autoSpaceDE w:val="0"/>
        <w:spacing w:after="0"/>
        <w:jc w:val="both"/>
        <w:rPr>
          <w:rFonts w:cs="CIDFont+F5"/>
          <w:szCs w:val="22"/>
        </w:rPr>
      </w:pPr>
    </w:p>
    <w:p w14:paraId="0BF56CDA" w14:textId="77777777" w:rsidR="00C228A9" w:rsidRDefault="00CE2846">
      <w:pPr>
        <w:autoSpaceDE w:val="0"/>
        <w:spacing w:after="0"/>
        <w:jc w:val="both"/>
      </w:pPr>
      <w:r>
        <w:rPr>
          <w:rFonts w:cs="CIDFont+F5"/>
          <w:szCs w:val="22"/>
        </w:rPr>
        <w:t xml:space="preserve">Cieľom dokumentu s kľúčovými informáciami o PEPP (PEPP KID) je poskytovať potenciálnym sporiteľom PEPP informácie spôsobom, ktorý uľahčuje </w:t>
      </w:r>
      <w:r>
        <w:rPr>
          <w:rFonts w:cs="CIDFont+F5"/>
          <w:szCs w:val="22"/>
        </w:rPr>
        <w:t xml:space="preserve">pochopenie a porovnateľnosť jednotlivých PEPP produktov a rôznych PEPP investičných možností. </w:t>
      </w:r>
      <w:r>
        <w:rPr>
          <w:rFonts w:cs="CIDFont+F4"/>
          <w:szCs w:val="22"/>
        </w:rPr>
        <w:t>Pritom platí, že v súlade s článkom 26 ods. 2 nariadenia o PEPP poskytovatelia PEPP majú zabezpečiť, aby PEPP KID boli vždy presné, pravdivé, jasné a nezavádzajúc</w:t>
      </w:r>
      <w:r>
        <w:rPr>
          <w:rFonts w:cs="CIDFont+F4"/>
          <w:szCs w:val="22"/>
        </w:rPr>
        <w:t xml:space="preserve">e.  </w:t>
      </w:r>
      <w:r>
        <w:rPr>
          <w:rFonts w:cs="CIDFont+F5"/>
          <w:szCs w:val="22"/>
        </w:rPr>
        <w:t>Z uvedeného dôvodu sa zvolila cesta vysokej miery štandardizácie, a to prostredníctvom stanovenia povinného vzoru PEPP KID.</w:t>
      </w:r>
    </w:p>
    <w:p w14:paraId="615DA5E9" w14:textId="77777777" w:rsidR="00C228A9" w:rsidRDefault="00CE2846">
      <w:pPr>
        <w:autoSpaceDE w:val="0"/>
        <w:spacing w:after="0"/>
        <w:jc w:val="both"/>
      </w:pPr>
      <w:r>
        <w:rPr>
          <w:rFonts w:cs="CIDFont+F4"/>
          <w:szCs w:val="22"/>
        </w:rPr>
        <w:t>V súlade s článkom 28 ods. 1 nariadenia o PEPP ako aj prílohou č. I (časť I. bod 2) delegovaného nariadenia 2021/473 je v zmysle</w:t>
      </w:r>
      <w:r>
        <w:rPr>
          <w:rFonts w:cs="CIDFont+F4"/>
          <w:szCs w:val="22"/>
        </w:rPr>
        <w:t xml:space="preserve"> štandardizácie </w:t>
      </w:r>
      <w:r>
        <w:rPr>
          <w:rFonts w:cs="CIDFont+F5"/>
          <w:szCs w:val="22"/>
        </w:rPr>
        <w:t xml:space="preserve">explicitne stanovený hlavný názov tohto informačného dokumentu „Dokument s kľúčovými informáciami o PEPP“, ktorý je jednotný pre všetky PEPP. V časti PEPP KID pred uvedením oddielu „O aký produkt ide?“ sa však môže uviesť </w:t>
      </w:r>
      <w:r>
        <w:rPr>
          <w:rFonts w:cs="CIDFont+F5"/>
          <w:szCs w:val="22"/>
        </w:rPr>
        <w:lastRenderedPageBreak/>
        <w:t xml:space="preserve">aj názov produktu </w:t>
      </w:r>
      <w:r>
        <w:rPr>
          <w:rFonts w:cs="CIDFont+F5"/>
          <w:szCs w:val="22"/>
        </w:rPr>
        <w:t xml:space="preserve">v podobe „Názov PEPP“, ktorý môže byť odlišujúcim prvkom medzi rôznymi PEPP. </w:t>
      </w:r>
      <w:r>
        <w:rPr>
          <w:rFonts w:cs="CIDFont+F4"/>
          <w:szCs w:val="22"/>
        </w:rPr>
        <w:t>Vzor PEPP KID tak predpokladá, že poskytovateľ PEPP môže registrovaný PEPP označiť akýmkoľvek doplňujúcim názvom, ktorý však nesmie byť pre potenciálneho sporiteľa zmätočný či ina</w:t>
      </w:r>
      <w:r>
        <w:rPr>
          <w:rFonts w:cs="CIDFont+F4"/>
          <w:szCs w:val="22"/>
        </w:rPr>
        <w:t>k zavádzajúci, pričom môže ísť napríklad aj o odlíšenie, či ide o bankový alebo poistný či investičný produkt, prípadné iný doplnkový názov, ktorý môže odlíšiť produkt od konkurencie.</w:t>
      </w:r>
    </w:p>
    <w:p w14:paraId="60B2B6C1" w14:textId="77777777" w:rsidR="00C228A9" w:rsidRDefault="00C228A9">
      <w:pPr>
        <w:autoSpaceDE w:val="0"/>
        <w:spacing w:after="0"/>
        <w:jc w:val="both"/>
        <w:rPr>
          <w:rFonts w:cs="CIDFont+F5"/>
          <w:szCs w:val="22"/>
        </w:rPr>
      </w:pPr>
    </w:p>
    <w:p w14:paraId="431A0585" w14:textId="77777777" w:rsidR="00C228A9" w:rsidRDefault="00CE2846">
      <w:pPr>
        <w:autoSpaceDE w:val="0"/>
        <w:spacing w:after="0"/>
        <w:jc w:val="both"/>
      </w:pPr>
      <w:r>
        <w:rPr>
          <w:rFonts w:cs="CIDFont+F5"/>
          <w:szCs w:val="22"/>
        </w:rPr>
        <w:t xml:space="preserve">Zároveň však platí, že jeden registrovaný PEPP môže používať len jeden </w:t>
      </w:r>
      <w:r>
        <w:rPr>
          <w:rFonts w:cs="CIDFont+F5"/>
          <w:szCs w:val="22"/>
        </w:rPr>
        <w:t xml:space="preserve">a ten istý doplnkový názov PEPP. </w:t>
      </w:r>
      <w:r>
        <w:rPr>
          <w:rFonts w:cs="CIDFont+F4"/>
          <w:szCs w:val="22"/>
        </w:rPr>
        <w:t>Poskytovateľ PEPP, ktorý poskytuje základný PEPP a niekoľko ďalších alternatívnych možností, odlišuje tieto rôzne alternatívne možnosti prostredníctvom informácie poskytovanej v časti „druh/typ produktu“, kde v súlade s prí</w:t>
      </w:r>
      <w:r>
        <w:rPr>
          <w:rFonts w:cs="CIDFont+F4"/>
          <w:szCs w:val="22"/>
        </w:rPr>
        <w:t>lohou č. I prvou časťou bodom 6 písm. d) sa uvádza, či ide o základný PEPP alebo nie, a ak nie, či KID PEPP odkazuje na konkrétnu alternatívnu investičnú možnosť alebo poskytuje všeobecné informácie týkajúce sa celej škály alternatívnych investičných možno</w:t>
      </w:r>
      <w:r>
        <w:rPr>
          <w:rFonts w:cs="CIDFont+F4"/>
          <w:szCs w:val="22"/>
        </w:rPr>
        <w:t>stí.</w:t>
      </w:r>
    </w:p>
    <w:p w14:paraId="58529F60" w14:textId="77777777" w:rsidR="00C228A9" w:rsidRDefault="00C228A9">
      <w:pPr>
        <w:autoSpaceDE w:val="0"/>
        <w:spacing w:after="0"/>
        <w:jc w:val="both"/>
        <w:rPr>
          <w:rFonts w:cs="CIDFont+F4"/>
          <w:szCs w:val="22"/>
        </w:rPr>
      </w:pPr>
    </w:p>
    <w:p w14:paraId="74B8FA77" w14:textId="77777777" w:rsidR="00C228A9" w:rsidRDefault="00CE2846">
      <w:pPr>
        <w:spacing w:after="0"/>
        <w:jc w:val="both"/>
      </w:pPr>
      <w:r>
        <w:rPr>
          <w:rFonts w:cs="Arial"/>
          <w:b/>
          <w:bCs/>
          <w:i/>
          <w:iCs/>
          <w:szCs w:val="22"/>
          <w:lang w:val="en-GB"/>
        </w:rPr>
        <w:t xml:space="preserve">Má EIOPA v pláne možno v úzkej spolupráci s EK zatraktívniť produkt PEPP cez motiváciu členských štátov prijať opatrenia v oblasti </w:t>
      </w:r>
      <w:r>
        <w:rPr>
          <w:rFonts w:cs="Arial"/>
          <w:b/>
          <w:bCs/>
          <w:i/>
          <w:iCs/>
          <w:szCs w:val="22"/>
          <w:u w:val="single"/>
          <w:lang w:val="en-GB"/>
        </w:rPr>
        <w:t xml:space="preserve">zdaňovania </w:t>
      </w:r>
      <w:r>
        <w:rPr>
          <w:rFonts w:cs="Arial"/>
          <w:b/>
          <w:bCs/>
          <w:i/>
          <w:iCs/>
          <w:szCs w:val="22"/>
          <w:lang w:val="en-GB"/>
        </w:rPr>
        <w:t>s cieľom podporiť dopyt po PEPP a uľahčiť prenosnosť PEPP v rámci EÚ?</w:t>
      </w:r>
    </w:p>
    <w:p w14:paraId="776DAA34" w14:textId="77777777" w:rsidR="00C228A9" w:rsidRDefault="00C228A9">
      <w:pPr>
        <w:jc w:val="both"/>
        <w:rPr>
          <w:rFonts w:cs="Arial"/>
          <w:szCs w:val="22"/>
        </w:rPr>
      </w:pPr>
    </w:p>
    <w:p w14:paraId="45277A36" w14:textId="77777777" w:rsidR="00C228A9" w:rsidRDefault="00CE2846">
      <w:pPr>
        <w:jc w:val="both"/>
      </w:pPr>
      <w:r>
        <w:rPr>
          <w:rFonts w:cs="Arial"/>
          <w:szCs w:val="22"/>
        </w:rPr>
        <w:t xml:space="preserve">Problematika daní a daňovo </w:t>
      </w:r>
      <w:r>
        <w:rPr>
          <w:rFonts w:cs="Arial"/>
          <w:szCs w:val="22"/>
        </w:rPr>
        <w:t xml:space="preserve">zvýhodnené zaobchádzanie s osobnými dôchodkovými produktmi je výlučne v kompetencii členských štátov. Zo strany EK bolo zverejnené </w:t>
      </w:r>
      <w:hyperlink r:id="rId6" w:history="1">
        <w:r>
          <w:rPr>
            <w:rStyle w:val="Hyperlink"/>
            <w:rFonts w:cs="Arial"/>
            <w:color w:val="auto"/>
            <w:szCs w:val="22"/>
          </w:rPr>
          <w:t xml:space="preserve">odporúčanie </w:t>
        </w:r>
      </w:hyperlink>
      <w:r>
        <w:rPr>
          <w:rFonts w:cs="Arial"/>
          <w:szCs w:val="22"/>
        </w:rPr>
        <w:t>o z</w:t>
      </w:r>
      <w:r>
        <w:rPr>
          <w:rFonts w:cs="Arial"/>
          <w:szCs w:val="22"/>
        </w:rPr>
        <w:t>daňovaní osobných dôchodkových produktov vrátane PEPP, v ktorom sa stanovuje, že členské štáty sa vyzývajú, aby poskytli PEPP rovnakú daňovú úľavu, aká sa poskytuje národným PPP.</w:t>
      </w:r>
    </w:p>
    <w:p w14:paraId="1688440F" w14:textId="77777777" w:rsidR="00C228A9" w:rsidRDefault="00CE284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Takéto vnútroštátne podmienky pre daňovo zvýhodnené zaobchádzanie budú súčasť</w:t>
      </w:r>
      <w:r>
        <w:rPr>
          <w:rFonts w:cs="Arial"/>
          <w:szCs w:val="22"/>
        </w:rPr>
        <w:t>ou vnútroštátnych ustanovení, ktoré musia zverejniť príslušné vnútroštátne orgány (a zodpovedajúcim spôsobom aj orgán EIOPA na svojej webovej stránke). V súčasnosti je takáto daňová podpora stále v rovine dohôd.</w:t>
      </w:r>
    </w:p>
    <w:p w14:paraId="04A7B025" w14:textId="77777777" w:rsidR="00C228A9" w:rsidRDefault="00C228A9">
      <w:pPr>
        <w:jc w:val="both"/>
        <w:rPr>
          <w:rFonts w:cs="Arial"/>
          <w:szCs w:val="22"/>
        </w:rPr>
      </w:pPr>
    </w:p>
    <w:p w14:paraId="301D33DD" w14:textId="77777777" w:rsidR="00C228A9" w:rsidRDefault="00CE2846">
      <w:pPr>
        <w:spacing w:after="0"/>
        <w:jc w:val="both"/>
      </w:pPr>
      <w:r>
        <w:rPr>
          <w:rFonts w:cs="Arial"/>
          <w:b/>
          <w:bCs/>
          <w:i/>
          <w:iCs/>
          <w:szCs w:val="22"/>
        </w:rPr>
        <w:t>Keďže je PEPP investičný produkt sú stanove</w:t>
      </w:r>
      <w:r>
        <w:rPr>
          <w:rFonts w:cs="Arial"/>
          <w:b/>
          <w:bCs/>
          <w:i/>
          <w:iCs/>
          <w:szCs w:val="22"/>
        </w:rPr>
        <w:t>né pravidlá investovania PEPP</w:t>
      </w:r>
      <w:r>
        <w:rPr>
          <w:rFonts w:cs="Arial"/>
          <w:i/>
          <w:iCs/>
          <w:szCs w:val="22"/>
        </w:rPr>
        <w:t>?</w:t>
      </w:r>
    </w:p>
    <w:p w14:paraId="6B5B7681" w14:textId="77777777" w:rsidR="00C228A9" w:rsidRDefault="00C228A9">
      <w:pPr>
        <w:jc w:val="both"/>
        <w:rPr>
          <w:rFonts w:cs="Arial"/>
          <w:szCs w:val="22"/>
          <w:shd w:val="clear" w:color="auto" w:fill="FFFF00"/>
        </w:rPr>
      </w:pPr>
    </w:p>
    <w:p w14:paraId="2EDE2F2C" w14:textId="77777777" w:rsidR="00C228A9" w:rsidRDefault="00CE2846">
      <w:pPr>
        <w:jc w:val="both"/>
      </w:pPr>
      <w:r>
        <w:rPr>
          <w:rFonts w:cs="Arial"/>
          <w:szCs w:val="22"/>
        </w:rPr>
        <w:t xml:space="preserve">Čl. 41 nariadenia o PEPP stanovuje investičné pravidlá pre PEPP, pokiaľ neexistujú prísnejšie sektorové pravidlá uplatniteľné na poskytovateľa PEPP. Najmä od poisťovní a inštitúcií </w:t>
      </w:r>
      <w:r>
        <w:rPr>
          <w:rFonts w:cs="Arial"/>
          <w:bCs/>
          <w:szCs w:val="22"/>
        </w:rPr>
        <w:t>zamestnaneckého dôchodkového zabezpečenia (</w:t>
      </w:r>
      <w:r>
        <w:rPr>
          <w:rFonts w:cs="Arial"/>
          <w:bCs/>
          <w:szCs w:val="22"/>
        </w:rPr>
        <w:t>IORP) sa vyžaduje, aby dodržiavali zásadu obozretnej osoby podľa smerníc Solventnosť II a IORP II.</w:t>
      </w:r>
    </w:p>
    <w:p w14:paraId="1CC46BA6" w14:textId="77777777" w:rsidR="00C228A9" w:rsidRDefault="00C228A9">
      <w:pPr>
        <w:jc w:val="both"/>
        <w:rPr>
          <w:rFonts w:cs="Arial"/>
          <w:szCs w:val="22"/>
        </w:rPr>
      </w:pPr>
    </w:p>
    <w:p w14:paraId="36628FC7" w14:textId="77777777" w:rsidR="00C228A9" w:rsidRDefault="00CE2846">
      <w:pPr>
        <w:spacing w:after="0"/>
        <w:jc w:val="both"/>
      </w:pPr>
      <w:r>
        <w:rPr>
          <w:rFonts w:cs="Arial"/>
          <w:b/>
          <w:bCs/>
          <w:i/>
          <w:iCs/>
          <w:szCs w:val="22"/>
        </w:rPr>
        <w:t>Sú kapitálové záruky PEPP typom techniky na zmiernenie rizika</w:t>
      </w:r>
      <w:r>
        <w:rPr>
          <w:rFonts w:cs="Arial"/>
          <w:i/>
          <w:iCs/>
          <w:szCs w:val="22"/>
        </w:rPr>
        <w:t>?</w:t>
      </w:r>
    </w:p>
    <w:p w14:paraId="7E32A247" w14:textId="77777777" w:rsidR="00C228A9" w:rsidRDefault="00C228A9">
      <w:pPr>
        <w:pStyle w:val="ListParagraph"/>
        <w:ind w:left="360"/>
        <w:jc w:val="both"/>
        <w:rPr>
          <w:rFonts w:cs="Arial"/>
          <w:szCs w:val="22"/>
        </w:rPr>
      </w:pPr>
    </w:p>
    <w:p w14:paraId="77886797" w14:textId="77777777" w:rsidR="00C228A9" w:rsidRDefault="00CE284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„Techniky zmierňovania rizika“ sú techniky na systematické znižovanie rozsahu vystavenia riz</w:t>
      </w:r>
      <w:r>
        <w:rPr>
          <w:rFonts w:cs="Arial"/>
          <w:szCs w:val="22"/>
        </w:rPr>
        <w:t>iku a/alebo pravdepodobnosti jeho výskytu. Nemala by sa zamieňať s kapitálovou zárukou. Základný PEPP musí buď poskytovať záruku na kapitál, alebo musí mať formu techniky na zmiernenie rizika.</w:t>
      </w:r>
    </w:p>
    <w:p w14:paraId="46FAF7FA" w14:textId="77777777" w:rsidR="00C228A9" w:rsidRDefault="00C228A9">
      <w:pPr>
        <w:spacing w:after="0"/>
        <w:jc w:val="both"/>
        <w:rPr>
          <w:rFonts w:cs="Arial"/>
          <w:szCs w:val="22"/>
        </w:rPr>
      </w:pPr>
    </w:p>
    <w:p w14:paraId="25080FDB" w14:textId="77777777" w:rsidR="00C228A9" w:rsidRDefault="00CE2846">
      <w:pPr>
        <w:spacing w:after="0"/>
        <w:jc w:val="both"/>
        <w:rPr>
          <w:rFonts w:eastAsia="Times New Roman" w:cs="Arial"/>
          <w:b/>
          <w:bCs/>
          <w:i/>
          <w:iCs/>
          <w:szCs w:val="22"/>
          <w:lang w:eastAsia="de-DE"/>
        </w:rPr>
      </w:pPr>
      <w:r>
        <w:rPr>
          <w:rFonts w:eastAsia="Times New Roman" w:cs="Arial"/>
          <w:b/>
          <w:bCs/>
          <w:i/>
          <w:iCs/>
          <w:szCs w:val="22"/>
          <w:lang w:eastAsia="de-DE"/>
        </w:rPr>
        <w:t xml:space="preserve">Sú poskytovatelia produktu PEPP povinní využívať stochastický </w:t>
      </w:r>
      <w:r>
        <w:rPr>
          <w:rFonts w:eastAsia="Times New Roman" w:cs="Arial"/>
          <w:b/>
          <w:bCs/>
          <w:i/>
          <w:iCs/>
          <w:szCs w:val="22"/>
          <w:lang w:eastAsia="de-DE"/>
        </w:rPr>
        <w:t>model EIOPA, alebo môžu vyvinúť a využívať stochastické modely, ktoré si sami vyvinuli ?</w:t>
      </w:r>
    </w:p>
    <w:p w14:paraId="41551CD3" w14:textId="77777777" w:rsidR="00C228A9" w:rsidRDefault="00C228A9">
      <w:pPr>
        <w:jc w:val="both"/>
        <w:rPr>
          <w:rFonts w:eastAsia="Times New Roman" w:cs="Arial"/>
          <w:szCs w:val="22"/>
          <w:lang w:eastAsia="de-DE"/>
        </w:rPr>
      </w:pPr>
    </w:p>
    <w:p w14:paraId="793FA370" w14:textId="77777777" w:rsidR="00C228A9" w:rsidRDefault="00CE2846">
      <w:pPr>
        <w:jc w:val="both"/>
      </w:pPr>
      <w:r>
        <w:rPr>
          <w:rFonts w:eastAsia="Times New Roman" w:cs="Arial"/>
          <w:szCs w:val="22"/>
          <w:lang w:eastAsia="de-DE"/>
        </w:rPr>
        <w:t xml:space="preserve">Poskytovatelia nie sú povinní využívať stochastický model EIOPA, ale môžu vyvinúť a využívať </w:t>
      </w:r>
      <w:r>
        <w:rPr>
          <w:rFonts w:eastAsia="Times New Roman" w:cs="Arial"/>
          <w:bCs/>
          <w:szCs w:val="22"/>
          <w:lang w:eastAsia="de-DE"/>
        </w:rPr>
        <w:t xml:space="preserve">stochastické modely </w:t>
      </w:r>
      <w:r>
        <w:rPr>
          <w:rFonts w:eastAsia="Times New Roman" w:cs="Arial"/>
          <w:szCs w:val="22"/>
          <w:lang w:eastAsia="de-DE"/>
        </w:rPr>
        <w:t xml:space="preserve">, ktoré si sami vyvinuli, za predpokladu, že </w:t>
      </w:r>
      <w:r>
        <w:rPr>
          <w:rFonts w:eastAsia="Times New Roman" w:cs="Arial"/>
          <w:szCs w:val="22"/>
          <w:lang w:eastAsia="de-DE"/>
        </w:rPr>
        <w:t>stochastický model je navrhnutý v súlade s požiadavkami delegovaného nariadenia Komisie 2021/473, ktorým sa dopĺňa nariadenie (EÚ) 2019/1238 Európskeho parlamentu a Rady, pokiaľ ide o regulačné technické normy, v ktorých sa stanovujú požiadavky na informač</w:t>
      </w:r>
      <w:r>
        <w:rPr>
          <w:rFonts w:eastAsia="Times New Roman" w:cs="Arial"/>
          <w:szCs w:val="22"/>
          <w:lang w:eastAsia="de-DE"/>
        </w:rPr>
        <w:t>né dokumenty, o nákladoch a poplatkoch zahrnutých do stropu nákladov a o technikách zmierňovania rizika pre celoeurópsky osobný dôchodkový produkt.</w:t>
      </w:r>
    </w:p>
    <w:p w14:paraId="196E0942" w14:textId="77777777" w:rsidR="00C228A9" w:rsidRDefault="00C228A9">
      <w:pPr>
        <w:spacing w:after="0"/>
        <w:jc w:val="both"/>
        <w:rPr>
          <w:rFonts w:eastAsia="Times New Roman" w:cs="Arial"/>
          <w:szCs w:val="22"/>
          <w:lang w:eastAsia="de-DE"/>
        </w:rPr>
      </w:pPr>
    </w:p>
    <w:p w14:paraId="2D65EF56" w14:textId="77777777" w:rsidR="00C228A9" w:rsidRDefault="00C228A9">
      <w:pPr>
        <w:ind w:left="360"/>
        <w:jc w:val="both"/>
        <w:rPr>
          <w:rFonts w:eastAsia="Times New Roman" w:cs="Arial"/>
          <w:szCs w:val="22"/>
          <w:lang w:eastAsia="de-DE"/>
        </w:rPr>
      </w:pPr>
    </w:p>
    <w:p w14:paraId="3A9B7F39" w14:textId="77777777" w:rsidR="00C228A9" w:rsidRDefault="00CE2846">
      <w:pPr>
        <w:spacing w:after="0"/>
        <w:jc w:val="both"/>
      </w:pPr>
      <w:r>
        <w:rPr>
          <w:rFonts w:cs="Arial"/>
          <w:b/>
          <w:bCs/>
          <w:i/>
          <w:iCs/>
          <w:szCs w:val="22"/>
          <w:lang w:eastAsia="de-DE"/>
        </w:rPr>
        <w:t xml:space="preserve">Je povinnosťou poskytovateľov PEPP integrovať </w:t>
      </w:r>
      <w:r>
        <w:rPr>
          <w:rFonts w:cs="Arial"/>
          <w:b/>
          <w:bCs/>
          <w:i/>
          <w:iCs/>
          <w:szCs w:val="22"/>
          <w:u w:val="single"/>
          <w:lang w:eastAsia="de-DE"/>
        </w:rPr>
        <w:t xml:space="preserve">mzdové modely, akými sú </w:t>
      </w:r>
      <w:r>
        <w:rPr>
          <w:rFonts w:eastAsia="Times New Roman" w:cs="Arial"/>
          <w:b/>
          <w:bCs/>
          <w:i/>
          <w:iCs/>
          <w:szCs w:val="22"/>
          <w:lang w:eastAsia="de-DE"/>
        </w:rPr>
        <w:t>predpoklady o nezamestnanosti a rast</w:t>
      </w:r>
      <w:r>
        <w:rPr>
          <w:rFonts w:eastAsia="Times New Roman" w:cs="Arial"/>
          <w:b/>
          <w:bCs/>
          <w:i/>
          <w:iCs/>
          <w:szCs w:val="22"/>
          <w:lang w:eastAsia="de-DE"/>
        </w:rPr>
        <w:t xml:space="preserve">e miezd ako dvoch hlavných faktorov </w:t>
      </w:r>
      <w:r>
        <w:rPr>
          <w:rFonts w:cs="Arial"/>
          <w:b/>
          <w:bCs/>
          <w:i/>
          <w:iCs/>
          <w:szCs w:val="22"/>
          <w:lang w:eastAsia="de-DE"/>
        </w:rPr>
        <w:t>v ich stochastických modeloch?</w:t>
      </w:r>
    </w:p>
    <w:p w14:paraId="7A6C8465" w14:textId="77777777" w:rsidR="00C228A9" w:rsidRDefault="00C228A9">
      <w:pPr>
        <w:pStyle w:val="ListParagraph"/>
        <w:ind w:left="360"/>
        <w:jc w:val="both"/>
        <w:rPr>
          <w:rFonts w:cs="Arial"/>
          <w:szCs w:val="22"/>
          <w:lang w:eastAsia="de-DE"/>
        </w:rPr>
      </w:pPr>
    </w:p>
    <w:p w14:paraId="30201CF7" w14:textId="77777777" w:rsidR="00C228A9" w:rsidRDefault="00CE2846">
      <w:pPr>
        <w:jc w:val="both"/>
        <w:rPr>
          <w:rFonts w:cs="Arial"/>
          <w:szCs w:val="22"/>
          <w:lang w:eastAsia="de-DE"/>
        </w:rPr>
      </w:pPr>
      <w:r>
        <w:rPr>
          <w:rFonts w:cs="Arial"/>
          <w:szCs w:val="22"/>
          <w:lang w:eastAsia="de-DE"/>
        </w:rPr>
        <w:t xml:space="preserve">Nie je povinné integrovať mzdový model, pokiaľ dizajn produktu PEPP neobsahuje prvky na ochranu pred takýmito rizikami alebo na prispôsobenie príspevkov na základe kariérneho </w:t>
      </w:r>
      <w:r>
        <w:rPr>
          <w:rFonts w:cs="Arial"/>
          <w:szCs w:val="22"/>
          <w:lang w:eastAsia="de-DE"/>
        </w:rPr>
        <w:t>postupu.</w:t>
      </w:r>
    </w:p>
    <w:p w14:paraId="5B03F663" w14:textId="77777777" w:rsidR="00C228A9" w:rsidRDefault="00C228A9">
      <w:pPr>
        <w:jc w:val="both"/>
        <w:rPr>
          <w:rFonts w:cs="Arial"/>
          <w:szCs w:val="22"/>
          <w:lang w:eastAsia="de-DE"/>
        </w:rPr>
      </w:pPr>
    </w:p>
    <w:p w14:paraId="421018D2" w14:textId="77777777" w:rsidR="00C228A9" w:rsidRDefault="00C228A9">
      <w:pPr>
        <w:spacing w:after="0"/>
      </w:pPr>
    </w:p>
    <w:sectPr w:rsidR="00C228A9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E3E4" w14:textId="77777777" w:rsidR="00CE2846" w:rsidRDefault="00CE2846">
      <w:pPr>
        <w:spacing w:after="0" w:line="240" w:lineRule="auto"/>
      </w:pPr>
      <w:r>
        <w:separator/>
      </w:r>
    </w:p>
  </w:endnote>
  <w:endnote w:type="continuationSeparator" w:id="0">
    <w:p w14:paraId="36445CDC" w14:textId="77777777" w:rsidR="00CE2846" w:rsidRDefault="00CE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6">
    <w:charset w:val="00"/>
    <w:family w:val="auto"/>
    <w:pitch w:val="default"/>
  </w:font>
  <w:font w:name="CIDFont+F5">
    <w:charset w:val="00"/>
    <w:family w:val="auto"/>
    <w:pitch w:val="default"/>
  </w:font>
  <w:font w:name="CIDFont+F4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CC25" w14:textId="77777777" w:rsidR="00CD7954" w:rsidRDefault="00CE2846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DA4E" w14:textId="77777777" w:rsidR="00CE2846" w:rsidRDefault="00CE28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908E41" w14:textId="77777777" w:rsidR="00CE2846" w:rsidRDefault="00CE2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28A9"/>
    <w:rsid w:val="00634BEE"/>
    <w:rsid w:val="00C228A9"/>
    <w:rsid w:val="00C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5586"/>
  <w15:docId w15:val="{0EE5A80C-E9FE-40C7-9AB9-6632CE4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sk-SK" w:eastAsia="en-US" w:bidi="ar-SA"/>
      </w:rPr>
    </w:rPrDefault>
    <w:pPrDefault>
      <w:pPr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Verdana" w:eastAsia="Times New Roman" w:hAnsi="Verdana"/>
      <w:color w:val="0067AC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240"/>
      <w:outlineLvl w:val="1"/>
    </w:pPr>
    <w:rPr>
      <w:rFonts w:ascii="Verdana" w:eastAsia="Times New Roman" w:hAnsi="Verdana"/>
      <w:color w:val="0067AC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rFonts w:ascii="Verdana" w:eastAsia="Times New Roman" w:hAnsi="Verdana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Verdana" w:eastAsia="Times New Roman" w:hAnsi="Verdana" w:cs="Times New Roman"/>
      <w:color w:val="0067AC"/>
      <w:sz w:val="32"/>
      <w:szCs w:val="32"/>
    </w:rPr>
  </w:style>
  <w:style w:type="character" w:customStyle="1" w:styleId="Heading2Char">
    <w:name w:val="Heading 2 Char"/>
    <w:basedOn w:val="DefaultParagraphFont"/>
    <w:rPr>
      <w:rFonts w:ascii="Verdana" w:eastAsia="Times New Roman" w:hAnsi="Verdana" w:cs="Times New Roman"/>
      <w:color w:val="0067AC"/>
      <w:sz w:val="28"/>
      <w:szCs w:val="26"/>
    </w:rPr>
  </w:style>
  <w:style w:type="character" w:customStyle="1" w:styleId="Heading3Char">
    <w:name w:val="Heading 3 Char"/>
    <w:basedOn w:val="DefaultParagraphFont"/>
    <w:rPr>
      <w:rFonts w:ascii="Verdana" w:eastAsia="Times New Roman" w:hAnsi="Verdana" w:cs="Times New Roman"/>
      <w:color w:val="0067AC"/>
      <w:sz w:val="24"/>
      <w:szCs w:val="24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customStyle="1" w:styleId="Paticka">
    <w:name w:val="Paticka"/>
    <w:basedOn w:val="Footer"/>
    <w:rPr>
      <w:rFonts w:ascii="Verdana" w:hAnsi="Verdana"/>
      <w:sz w:val="14"/>
    </w:rPr>
  </w:style>
  <w:style w:type="paragraph" w:customStyle="1" w:styleId="Poznamka">
    <w:name w:val="Poznamka"/>
    <w:pPr>
      <w:suppressAutoHyphens/>
    </w:pPr>
    <w:rPr>
      <w:rFonts w:ascii="Verdana" w:hAnsi="Verdana"/>
      <w:sz w:val="14"/>
    </w:rPr>
  </w:style>
  <w:style w:type="character" w:customStyle="1" w:styleId="PatickaChar">
    <w:name w:val="Paticka Char"/>
    <w:basedOn w:val="FooterChar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rPr>
      <w:rFonts w:ascii="Verdana" w:hAnsi="Verdana"/>
      <w:sz w:val="14"/>
    </w:rPr>
  </w:style>
  <w:style w:type="character" w:styleId="Hyperlink">
    <w:name w:val="Hyperlink"/>
    <w:basedOn w:val="DefaultParagraphFont"/>
    <w:rPr>
      <w:color w:val="1C355E"/>
      <w:u w:val="single"/>
    </w:r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info/sites/default/files/170629-personal-pensions-recommendation_en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2</cp:revision>
  <dcterms:created xsi:type="dcterms:W3CDTF">2022-05-06T14:34:00Z</dcterms:created>
  <dcterms:modified xsi:type="dcterms:W3CDTF">2022-05-06T14:34:00Z</dcterms:modified>
</cp:coreProperties>
</file>