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D395" w14:textId="77777777" w:rsidR="00FF56AF" w:rsidRDefault="00F80FF2">
      <w:pPr>
        <w:spacing w:after="0" w:line="259" w:lineRule="auto"/>
        <w:ind w:left="57" w:right="0" w:firstLine="0"/>
        <w:jc w:val="center"/>
      </w:pPr>
      <w:r>
        <w:rPr>
          <w:noProof/>
        </w:rPr>
        <w:drawing>
          <wp:inline distT="0" distB="0" distL="0" distR="0" wp14:anchorId="357CF125" wp14:editId="153BF847">
            <wp:extent cx="1894205" cy="749935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7A7EBE56" w14:textId="77777777" w:rsidR="00FF56AF" w:rsidRDefault="00F80FF2">
      <w:pPr>
        <w:spacing w:after="0" w:line="259" w:lineRule="auto"/>
        <w:ind w:left="58" w:right="0" w:firstLine="0"/>
        <w:jc w:val="center"/>
      </w:pPr>
      <w:r>
        <w:rPr>
          <w:b/>
          <w:sz w:val="28"/>
        </w:rPr>
        <w:t xml:space="preserve"> </w:t>
      </w:r>
    </w:p>
    <w:p w14:paraId="6B58E6D2" w14:textId="77777777" w:rsidR="00FF56AF" w:rsidRDefault="00F80FF2">
      <w:pPr>
        <w:spacing w:after="28" w:line="216" w:lineRule="auto"/>
        <w:ind w:left="4537" w:right="3398" w:hanging="1080"/>
        <w:jc w:val="left"/>
      </w:pPr>
      <w:r>
        <w:rPr>
          <w:noProof/>
        </w:rPr>
        <w:drawing>
          <wp:inline distT="0" distB="0" distL="0" distR="0" wp14:anchorId="38B07B7C" wp14:editId="657E06A8">
            <wp:extent cx="1362075" cy="390525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</w:p>
    <w:p w14:paraId="4C9BF09D" w14:textId="77777777" w:rsidR="00FF56AF" w:rsidRDefault="00F80FF2">
      <w:pPr>
        <w:spacing w:after="0" w:line="259" w:lineRule="auto"/>
        <w:ind w:left="58" w:right="0" w:firstLine="0"/>
        <w:jc w:val="center"/>
      </w:pPr>
      <w:r>
        <w:rPr>
          <w:b/>
          <w:sz w:val="28"/>
        </w:rPr>
        <w:t xml:space="preserve"> </w:t>
      </w:r>
    </w:p>
    <w:p w14:paraId="156A8749" w14:textId="77777777" w:rsidR="00FF56AF" w:rsidRDefault="00F80FF2">
      <w:pPr>
        <w:spacing w:after="0" w:line="259" w:lineRule="auto"/>
        <w:ind w:right="4" w:firstLine="0"/>
        <w:jc w:val="center"/>
      </w:pPr>
      <w:r>
        <w:rPr>
          <w:b/>
          <w:color w:val="0067AC"/>
          <w:sz w:val="28"/>
        </w:rPr>
        <w:t xml:space="preserve">Pravidlá a odporúčania pre poskytovanie  </w:t>
      </w:r>
    </w:p>
    <w:p w14:paraId="32D4C39A" w14:textId="77777777" w:rsidR="00FF56AF" w:rsidRDefault="00F80FF2">
      <w:pPr>
        <w:spacing w:after="0" w:line="259" w:lineRule="auto"/>
        <w:ind w:right="2" w:firstLine="0"/>
        <w:jc w:val="center"/>
      </w:pPr>
      <w:r>
        <w:rPr>
          <w:b/>
          <w:color w:val="0067AC"/>
          <w:sz w:val="28"/>
        </w:rPr>
        <w:t xml:space="preserve">SEPA okamžitých platieb na trhu SR </w:t>
      </w:r>
    </w:p>
    <w:p w14:paraId="2760BABF" w14:textId="77777777" w:rsidR="00FF56AF" w:rsidRDefault="00F80FF2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44E8F605" w14:textId="77777777" w:rsidR="00FF56AF" w:rsidRDefault="00F80FF2">
      <w:pPr>
        <w:ind w:left="-15" w:right="0"/>
      </w:pPr>
      <w:r>
        <w:t>Slovenský bankový trh v</w:t>
      </w:r>
      <w:r>
        <w:t xml:space="preserve"> decembri r. </w:t>
      </w:r>
      <w:r>
        <w:t xml:space="preserve">2019 prijal rozhodnutie zaviesť SEPA okamžité </w:t>
      </w:r>
      <w:r>
        <w:t xml:space="preserve">platby v </w:t>
      </w:r>
      <w:r>
        <w:t xml:space="preserve">termíne </w:t>
      </w:r>
      <w:r>
        <w:t xml:space="preserve">od 1. </w:t>
      </w:r>
      <w:r>
        <w:t xml:space="preserve">februára </w:t>
      </w:r>
      <w:r>
        <w:t xml:space="preserve">2022. </w:t>
      </w:r>
      <w:r>
        <w:t>Uvedený termín ako i</w:t>
      </w:r>
      <w:r>
        <w:t xml:space="preserve"> </w:t>
      </w:r>
      <w:r>
        <w:t xml:space="preserve">minimálne </w:t>
      </w:r>
      <w:r>
        <w:t xml:space="preserve">podmienky pre </w:t>
      </w:r>
      <w:r>
        <w:t>spustenie okamžitých platieb v</w:t>
      </w:r>
      <w:r>
        <w:t xml:space="preserve"> SR </w:t>
      </w:r>
      <w:r>
        <w:t xml:space="preserve">sú obsahom dokumentu </w:t>
      </w:r>
      <w:hyperlink r:id="rId9">
        <w:r>
          <w:rPr>
            <w:color w:val="1C355E"/>
            <w:u w:val="single" w:color="1C355E"/>
          </w:rPr>
          <w:t>Národný plán zavedenia</w:t>
        </w:r>
      </w:hyperlink>
      <w:hyperlink r:id="rId10">
        <w:r>
          <w:rPr>
            <w:color w:val="1C355E"/>
          </w:rPr>
          <w:t xml:space="preserve"> </w:t>
        </w:r>
      </w:hyperlink>
      <w:hyperlink r:id="rId11">
        <w:r>
          <w:rPr>
            <w:color w:val="1C355E"/>
            <w:u w:val="single" w:color="1C355E"/>
          </w:rPr>
          <w:t>okamžitých platieb v SR</w:t>
        </w:r>
      </w:hyperlink>
      <w:hyperlink r:id="rId12">
        <w:r>
          <w:rPr>
            <w:color w:val="1C355E"/>
            <w:u w:val="single" w:color="1C355E"/>
          </w:rPr>
          <w:t xml:space="preserve"> </w:t>
        </w:r>
      </w:hyperlink>
      <w:r>
        <w:rPr>
          <w:color w:val="1C355E"/>
          <w:u w:val="single" w:color="1C355E"/>
        </w:rPr>
        <w:t>(ďalej len „Národný plán“</w:t>
      </w:r>
      <w:r>
        <w:rPr>
          <w:color w:val="1C355E"/>
          <w:u w:val="single" w:color="1C355E"/>
        </w:rPr>
        <w:t>)</w:t>
      </w:r>
      <w:r>
        <w:t xml:space="preserve">, </w:t>
      </w:r>
      <w:r>
        <w:t xml:space="preserve">ktorý bol pripravený Národnou </w:t>
      </w:r>
      <w:r>
        <w:t xml:space="preserve">bankou Slovenska v </w:t>
      </w:r>
      <w:r>
        <w:t>spolupráci s</w:t>
      </w:r>
      <w:r>
        <w:t xml:space="preserve"> bankovou komunitou v </w:t>
      </w:r>
      <w:r>
        <w:t xml:space="preserve">SR, Ministerstvom financií SR </w:t>
      </w:r>
      <w:r>
        <w:t xml:space="preserve">a </w:t>
      </w:r>
      <w:r>
        <w:t>Štátnou pokladnicou</w:t>
      </w:r>
      <w:r>
        <w:t xml:space="preserve">. </w:t>
      </w:r>
      <w:r>
        <w:t>Na uvedený Národný plán nadväzujú aktuálne vypracované Pravidlá a</w:t>
      </w:r>
      <w:r>
        <w:t xml:space="preserve"> </w:t>
      </w:r>
      <w:r>
        <w:t>odporúčania pre poskytovan</w:t>
      </w:r>
      <w:r>
        <w:t xml:space="preserve">ie SEPA okamžitých platieb </w:t>
      </w:r>
      <w:r>
        <w:t xml:space="preserve">na trhu SR. </w:t>
      </w:r>
    </w:p>
    <w:p w14:paraId="38330658" w14:textId="77777777" w:rsidR="00FF56AF" w:rsidRDefault="00F80FF2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887205C" w14:textId="77777777" w:rsidR="00FF56AF" w:rsidRDefault="00F80FF2">
      <w:pPr>
        <w:ind w:left="-15" w:right="0"/>
      </w:pPr>
      <w:r>
        <w:t xml:space="preserve">K zabezpečeniu plynulého a bezproblémového </w:t>
      </w:r>
      <w:r>
        <w:t xml:space="preserve">zavedenia </w:t>
      </w:r>
      <w:r>
        <w:t>SEPA okamžitých</w:t>
      </w:r>
      <w:r>
        <w:t xml:space="preserve"> platieb je </w:t>
      </w:r>
      <w:r>
        <w:t>dôležitá</w:t>
      </w:r>
      <w:r>
        <w:t xml:space="preserve"> </w:t>
      </w:r>
      <w:r>
        <w:t>dostupnosť informácií pre poskytovateľov platobných služieb</w:t>
      </w:r>
      <w:r>
        <w:t xml:space="preserve"> </w:t>
      </w:r>
      <w:r>
        <w:t>(ďalej len PSP</w:t>
      </w:r>
      <w:r>
        <w:t xml:space="preserve">), </w:t>
      </w:r>
      <w:r>
        <w:t>pôsobiacich na Slovensku</w:t>
      </w:r>
      <w:r>
        <w:t xml:space="preserve"> o p</w:t>
      </w:r>
      <w:r>
        <w:t>ravidlách</w:t>
      </w:r>
      <w:r>
        <w:t xml:space="preserve"> a </w:t>
      </w:r>
      <w:r>
        <w:t>odporúča</w:t>
      </w:r>
      <w:r>
        <w:t>niach</w:t>
      </w:r>
      <w:r>
        <w:t xml:space="preserve"> v </w:t>
      </w:r>
      <w:r>
        <w:t xml:space="preserve">spracovaní okamžitých platieb </w:t>
      </w:r>
      <w:r>
        <w:t xml:space="preserve">v SR. </w:t>
      </w:r>
      <w:r>
        <w:t>Zavedenie SEPA okamžitých platieb bude postupné a</w:t>
      </w:r>
      <w:r>
        <w:t xml:space="preserve"> preto c</w:t>
      </w:r>
      <w:r>
        <w:t xml:space="preserve">ieľom tohto dokumentu </w:t>
      </w:r>
      <w:r>
        <w:t xml:space="preserve">je </w:t>
      </w:r>
      <w:r>
        <w:t xml:space="preserve">poskytnúť </w:t>
      </w:r>
      <w:r>
        <w:t xml:space="preserve">PSP tieto </w:t>
      </w:r>
      <w:r>
        <w:t xml:space="preserve">informácie, ktoré </w:t>
      </w:r>
      <w:r>
        <w:t xml:space="preserve">pripravila a </w:t>
      </w:r>
      <w:r>
        <w:t xml:space="preserve">odsúhlasila </w:t>
      </w:r>
      <w:hyperlink r:id="rId13">
        <w:r>
          <w:rPr>
            <w:color w:val="1C355E"/>
            <w:u w:val="single" w:color="1C355E"/>
          </w:rPr>
          <w:t>Národná užívateľská</w:t>
        </w:r>
      </w:hyperlink>
      <w:hyperlink r:id="rId14">
        <w:r>
          <w:rPr>
            <w:color w:val="1C355E"/>
          </w:rPr>
          <w:t xml:space="preserve"> </w:t>
        </w:r>
      </w:hyperlink>
      <w:hyperlink r:id="rId15">
        <w:r>
          <w:rPr>
            <w:color w:val="1C355E"/>
            <w:u w:val="single" w:color="1C355E"/>
          </w:rPr>
          <w:t>skupi</w:t>
        </w:r>
        <w:r>
          <w:rPr>
            <w:color w:val="1C355E"/>
            <w:u w:val="single" w:color="1C355E"/>
          </w:rPr>
          <w:t>na pre platby a systémy pre SR</w:t>
        </w:r>
      </w:hyperlink>
      <w:hyperlink r:id="rId16">
        <w:r>
          <w:t xml:space="preserve"> </w:t>
        </w:r>
      </w:hyperlink>
      <w:r>
        <w:t>(ďalej len NSG Pay</w:t>
      </w:r>
      <w:r>
        <w:t xml:space="preserve">-SK). </w:t>
      </w:r>
      <w:r>
        <w:t xml:space="preserve">Tento dokument nerieši </w:t>
      </w:r>
      <w:r>
        <w:t xml:space="preserve">postup a </w:t>
      </w:r>
      <w:r>
        <w:t>náležitosti implementačného projektu v</w:t>
      </w:r>
      <w:r>
        <w:t xml:space="preserve"> </w:t>
      </w:r>
      <w:r>
        <w:t>interných systémoch PSP.</w:t>
      </w:r>
      <w:r>
        <w:t xml:space="preserve"> </w:t>
      </w:r>
    </w:p>
    <w:p w14:paraId="12F11A5A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468CB9A0" w14:textId="77777777" w:rsidR="00FF56AF" w:rsidRDefault="00F80FF2">
      <w:pPr>
        <w:spacing w:after="7" w:line="259" w:lineRule="auto"/>
        <w:ind w:right="0" w:firstLine="0"/>
        <w:jc w:val="left"/>
      </w:pPr>
      <w:r>
        <w:t xml:space="preserve"> </w:t>
      </w:r>
    </w:p>
    <w:p w14:paraId="1FB9FB2E" w14:textId="77777777" w:rsidR="00FF56AF" w:rsidRDefault="00F80FF2">
      <w:pPr>
        <w:pStyle w:val="Heading1"/>
        <w:ind w:left="705" w:hanging="360"/>
      </w:pPr>
      <w:r>
        <w:t xml:space="preserve">Domáce špecifiká pre </w:t>
      </w:r>
      <w:r>
        <w:t xml:space="preserve">SEPA </w:t>
      </w:r>
      <w:r>
        <w:t>okamžité platby</w:t>
      </w:r>
      <w:r>
        <w:t xml:space="preserve"> </w:t>
      </w:r>
    </w:p>
    <w:p w14:paraId="3CE5D533" w14:textId="77777777" w:rsidR="00FF56AF" w:rsidRDefault="00F80FF2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5830D5ED" w14:textId="77777777" w:rsidR="00FF56AF" w:rsidRDefault="00F80FF2">
      <w:pPr>
        <w:ind w:left="-15" w:right="0"/>
      </w:pPr>
      <w:r>
        <w:t xml:space="preserve">SEPA okamžité platby (SEPA </w:t>
      </w:r>
      <w:proofErr w:type="spellStart"/>
      <w:r>
        <w:t>Instant</w:t>
      </w:r>
      <w:proofErr w:type="spellEnd"/>
      <w:r>
        <w:t xml:space="preserve"> Credit Transfer, ďalej len SCT Inst) fungujú ako SEPA úhrady (SEPA Credit Transfer, ďalej len “</w:t>
      </w:r>
      <w:r>
        <w:t>SCT</w:t>
      </w:r>
      <w:r>
        <w:t xml:space="preserve">”), sú však poskytované nepretržite 24 hodín denne, 7 dní v týždni, 365 dní v roku. Peniaze má príjemca dostupné okamžite, </w:t>
      </w:r>
      <w:r>
        <w:t xml:space="preserve">maximálne do 10 sekúnd. Znamená to, že </w:t>
      </w:r>
      <w:r>
        <w:t xml:space="preserve">PSP </w:t>
      </w:r>
      <w:r>
        <w:t xml:space="preserve">príjemcu okamžite potvrdí </w:t>
      </w:r>
      <w:r>
        <w:t xml:space="preserve">PSP </w:t>
      </w:r>
      <w:r>
        <w:t>platiteľa, že pripísal prostriedky príjemcovi, alebo že platba bola odmietnutá. Všetci účastníci schémy musia byť technicky schopní spracovať SCT Inst úhrady nepretržite a bez obmedze</w:t>
      </w:r>
      <w:r>
        <w:t xml:space="preserve">nia </w:t>
      </w:r>
      <w:r>
        <w:t>prevádzky na princípe 24/7/365.</w:t>
      </w:r>
      <w:r>
        <w:t xml:space="preserve"> </w:t>
      </w:r>
    </w:p>
    <w:p w14:paraId="648BBB1D" w14:textId="77777777" w:rsidR="00FF56AF" w:rsidRDefault="00F80FF2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F963574" w14:textId="77777777" w:rsidR="00FF56AF" w:rsidRDefault="00F80FF2">
      <w:pPr>
        <w:ind w:left="-15" w:right="0"/>
      </w:pPr>
      <w:r>
        <w:t xml:space="preserve">SEPA </w:t>
      </w:r>
      <w:proofErr w:type="spellStart"/>
      <w:r>
        <w:t>Instant</w:t>
      </w:r>
      <w:proofErr w:type="spellEnd"/>
      <w:r>
        <w:t xml:space="preserve"> Credit Transfer </w:t>
      </w:r>
      <w:proofErr w:type="spellStart"/>
      <w:r>
        <w:t>Scheme</w:t>
      </w:r>
      <w:proofErr w:type="spellEnd"/>
      <w:r>
        <w:t xml:space="preserve"> (ďalej len „SCT Inst schéma“) je paneurópska platobná schéma pre okamžité platby, ktorú predstavila Európska platobná rada (European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Council</w:t>
      </w:r>
      <w:proofErr w:type="spellEnd"/>
      <w:r>
        <w:t>, ďalej len „</w:t>
      </w:r>
      <w:r>
        <w:t>EPC</w:t>
      </w:r>
      <w:r>
        <w:t xml:space="preserve">“) v novembri r. </w:t>
      </w:r>
      <w:r>
        <w:t>2017 publikovaním európskeho štandardu</w:t>
      </w:r>
      <w:hyperlink r:id="rId17">
        <w:r>
          <w:rPr>
            <w:color w:val="27323F"/>
          </w:rPr>
          <w:t xml:space="preserve"> </w:t>
        </w:r>
      </w:hyperlink>
      <w:hyperlink r:id="rId18">
        <w:r>
          <w:rPr>
            <w:color w:val="003356"/>
            <w:u w:val="single" w:color="003356"/>
          </w:rPr>
          <w:t xml:space="preserve">SEPA </w:t>
        </w:r>
        <w:proofErr w:type="spellStart"/>
        <w:r>
          <w:rPr>
            <w:color w:val="003356"/>
            <w:u w:val="single" w:color="003356"/>
          </w:rPr>
          <w:t>Instant</w:t>
        </w:r>
        <w:proofErr w:type="spellEnd"/>
        <w:r>
          <w:rPr>
            <w:color w:val="003356"/>
            <w:u w:val="single" w:color="003356"/>
          </w:rPr>
          <w:t xml:space="preserve"> Credit Transfer </w:t>
        </w:r>
        <w:proofErr w:type="spellStart"/>
        <w:r>
          <w:rPr>
            <w:color w:val="003356"/>
            <w:u w:val="single" w:color="003356"/>
          </w:rPr>
          <w:t>Scheme</w:t>
        </w:r>
        <w:proofErr w:type="spellEnd"/>
        <w:r>
          <w:rPr>
            <w:color w:val="003356"/>
            <w:u w:val="single" w:color="003356"/>
          </w:rPr>
          <w:t xml:space="preserve"> </w:t>
        </w:r>
        <w:proofErr w:type="spellStart"/>
        <w:r>
          <w:rPr>
            <w:color w:val="003356"/>
            <w:u w:val="single" w:color="003356"/>
          </w:rPr>
          <w:t>Rulebook</w:t>
        </w:r>
        <w:proofErr w:type="spellEnd"/>
      </w:hyperlink>
      <w:hyperlink r:id="rId19">
        <w:r>
          <w:rPr>
            <w:color w:val="4DC9F1"/>
            <w:u w:val="single" w:color="003356"/>
          </w:rPr>
          <w:t xml:space="preserve"> </w:t>
        </w:r>
      </w:hyperlink>
      <w:hyperlink r:id="rId20">
        <w:r>
          <w:t>a</w:t>
        </w:r>
      </w:hyperlink>
      <w:hyperlink r:id="rId21">
        <w:r>
          <w:rPr>
            <w:color w:val="4DC9F1"/>
            <w:u w:val="single" w:color="003356"/>
          </w:rPr>
          <w:t xml:space="preserve"> </w:t>
        </w:r>
      </w:hyperlink>
      <w:hyperlink r:id="rId22">
        <w:proofErr w:type="spellStart"/>
        <w:r>
          <w:rPr>
            <w:color w:val="003356"/>
            <w:u w:val="single" w:color="003356"/>
          </w:rPr>
          <w:t>Implementation</w:t>
        </w:r>
        <w:proofErr w:type="spellEnd"/>
      </w:hyperlink>
      <w:hyperlink r:id="rId23">
        <w:r>
          <w:rPr>
            <w:color w:val="003356"/>
          </w:rPr>
          <w:t xml:space="preserve"> </w:t>
        </w:r>
      </w:hyperlink>
      <w:hyperlink r:id="rId24">
        <w:proofErr w:type="spellStart"/>
        <w:r>
          <w:rPr>
            <w:color w:val="003356"/>
            <w:u w:val="single" w:color="003356"/>
          </w:rPr>
          <w:t>quidelines</w:t>
        </w:r>
        <w:proofErr w:type="spellEnd"/>
      </w:hyperlink>
      <w:hyperlink r:id="rId25">
        <w:r>
          <w:t>.</w:t>
        </w:r>
      </w:hyperlink>
      <w:r>
        <w:t xml:space="preserve">  </w:t>
      </w:r>
    </w:p>
    <w:p w14:paraId="208D8EE4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71AF7BF2" w14:textId="77777777" w:rsidR="00FF56AF" w:rsidRDefault="00F80FF2">
      <w:pPr>
        <w:ind w:left="-15" w:right="0"/>
      </w:pPr>
      <w:r>
        <w:t>Banky, ktoré chcú poskytovať okamžité</w:t>
      </w:r>
      <w:r>
        <w:t xml:space="preserve"> </w:t>
      </w:r>
      <w:r>
        <w:t xml:space="preserve">platby, musia pristúpiť do SCT Inst schémy </w:t>
      </w:r>
      <w:r>
        <w:t xml:space="preserve">a to podpisom zmluvy s </w:t>
      </w:r>
      <w:r>
        <w:t>EPC, ktorou sa zaväzujú minimálne spracova</w:t>
      </w:r>
      <w:r>
        <w:t xml:space="preserve">ť okamžité platby na </w:t>
      </w:r>
      <w:r>
        <w:lastRenderedPageBreak/>
        <w:t>strane príjemcu platieb na úč</w:t>
      </w:r>
      <w:r>
        <w:t xml:space="preserve">toch svojich klientov. </w:t>
      </w:r>
      <w:r>
        <w:t xml:space="preserve">Zároveň  </w:t>
      </w:r>
      <w:r>
        <w:t>sa zav</w:t>
      </w:r>
      <w:r>
        <w:t>äzujú zabezpečiť služby zúčtovania a</w:t>
      </w:r>
      <w:r>
        <w:t xml:space="preserve"> </w:t>
      </w:r>
      <w:r>
        <w:t xml:space="preserve">vyrovnania nevyhnutné </w:t>
      </w:r>
      <w:r>
        <w:t xml:space="preserve">pre </w:t>
      </w:r>
      <w:r>
        <w:t>poskytovanie SEPA okamžitých platieb.</w:t>
      </w:r>
      <w:r>
        <w:t xml:space="preserve">  </w:t>
      </w:r>
    </w:p>
    <w:p w14:paraId="7432D8D0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5DB4A4F6" w14:textId="77777777" w:rsidR="00FF56AF" w:rsidRDefault="00F80FF2">
      <w:pPr>
        <w:ind w:left="-15" w:right="0"/>
      </w:pPr>
      <w:r>
        <w:t xml:space="preserve">Pristúpenie do schémy </w:t>
      </w:r>
      <w:r>
        <w:t xml:space="preserve">SCT Inst </w:t>
      </w:r>
      <w:r>
        <w:t xml:space="preserve">je pre európskych </w:t>
      </w:r>
      <w:r>
        <w:t xml:space="preserve">PSP </w:t>
      </w:r>
      <w:r>
        <w:t>dobrovoľné</w:t>
      </w:r>
      <w:r>
        <w:t xml:space="preserve"> </w:t>
      </w:r>
      <w:r>
        <w:t xml:space="preserve">a preto nie všetky banky a ich účty sú </w:t>
      </w:r>
      <w:r>
        <w:t xml:space="preserve">dnes </w:t>
      </w:r>
      <w:r>
        <w:t>dosiahnuteľné pre okamžité platby</w:t>
      </w:r>
      <w:r>
        <w:t xml:space="preserve">. </w:t>
      </w:r>
      <w:r>
        <w:rPr>
          <w:color w:val="27323F"/>
        </w:rPr>
        <w:t xml:space="preserve"> </w:t>
      </w:r>
    </w:p>
    <w:p w14:paraId="762965E1" w14:textId="77777777" w:rsidR="00FF56AF" w:rsidRDefault="00F80FF2">
      <w:pPr>
        <w:spacing w:after="0" w:line="259" w:lineRule="auto"/>
        <w:ind w:right="0" w:firstLine="0"/>
        <w:jc w:val="left"/>
      </w:pPr>
      <w:r>
        <w:rPr>
          <w:color w:val="27323F"/>
        </w:rPr>
        <w:t xml:space="preserve"> </w:t>
      </w:r>
    </w:p>
    <w:p w14:paraId="2D3653E3" w14:textId="77777777" w:rsidR="00FF56AF" w:rsidRDefault="00F80FF2">
      <w:pPr>
        <w:spacing w:after="112"/>
        <w:ind w:left="-15" w:right="0"/>
      </w:pPr>
      <w:r>
        <w:t xml:space="preserve">V </w:t>
      </w:r>
      <w:r>
        <w:t>súčasnosti na trhu pôsobí viacero systémov, ktoré zabezpečujú spracovanie okamžitých platieb</w:t>
      </w:r>
      <w:r>
        <w:t xml:space="preserve"> pre PSP. </w:t>
      </w:r>
      <w:r>
        <w:t>Najvýznamnejšími sú RT1, ktorý je</w:t>
      </w:r>
      <w:r>
        <w:t xml:space="preserve"> </w:t>
      </w:r>
      <w:r>
        <w:t>prevádzkovaný spoločnosťou EBA Clearing a</w:t>
      </w:r>
      <w:r>
        <w:t xml:space="preserve"> </w:t>
      </w:r>
      <w:r>
        <w:t xml:space="preserve">TIPS (TARGET 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>), ktorý je prevádzkovaný Eurosystémom.</w:t>
      </w:r>
      <w:r>
        <w:t xml:space="preserve"> </w:t>
      </w:r>
      <w:r>
        <w:t xml:space="preserve">V </w:t>
      </w:r>
      <w:r>
        <w:t xml:space="preserve">zmysle Národného plánu preferovaným riešením </w:t>
      </w:r>
      <w:r>
        <w:t xml:space="preserve">je pripojenie na </w:t>
      </w:r>
      <w:r>
        <w:rPr>
          <w:b/>
        </w:rPr>
        <w:t>TIPS</w:t>
      </w:r>
      <w:r>
        <w:t xml:space="preserve">, ktorý pre slovenský trh prevádzkuje Národná banka </w:t>
      </w:r>
      <w:r>
        <w:t xml:space="preserve">Slovenska. TIPS v </w:t>
      </w:r>
      <w:r>
        <w:t>súčasnosti zabezpeč</w:t>
      </w:r>
      <w:r>
        <w:t xml:space="preserve">uje </w:t>
      </w:r>
      <w:r>
        <w:t xml:space="preserve">plnú </w:t>
      </w:r>
      <w:proofErr w:type="spellStart"/>
      <w:r>
        <w:t>interoperabilitu</w:t>
      </w:r>
      <w:proofErr w:type="spellEnd"/>
      <w:r>
        <w:t xml:space="preserve"> v </w:t>
      </w:r>
      <w:r>
        <w:t>spracovaní okamžitých platieb</w:t>
      </w:r>
      <w:r>
        <w:t xml:space="preserve"> v mene EUR s </w:t>
      </w:r>
      <w:r>
        <w:t>bankami v EÚ, ktoré používa</w:t>
      </w:r>
      <w:r>
        <w:t xml:space="preserve">jú iný platobný systém pre spracovanie okamžitých </w:t>
      </w:r>
      <w:r>
        <w:t xml:space="preserve">platieb. </w:t>
      </w:r>
    </w:p>
    <w:p w14:paraId="183CFBB7" w14:textId="77777777" w:rsidR="00FF56AF" w:rsidRDefault="00F80FF2">
      <w:pPr>
        <w:spacing w:after="11"/>
        <w:ind w:right="0" w:firstLine="360"/>
        <w:jc w:val="left"/>
      </w:pPr>
      <w:r>
        <w:t>N</w:t>
      </w:r>
      <w:r>
        <w:t>árodný plán</w:t>
      </w:r>
      <w:r>
        <w:t xml:space="preserve"> nastavil </w:t>
      </w:r>
      <w:r>
        <w:rPr>
          <w:b/>
        </w:rPr>
        <w:t>minimálne predpoklady</w:t>
      </w:r>
      <w:r>
        <w:t xml:space="preserve"> </w:t>
      </w:r>
      <w:r>
        <w:rPr>
          <w:b/>
        </w:rPr>
        <w:t xml:space="preserve">pre zavedenie okamžitých platieb na trhu SR: </w:t>
      </w:r>
    </w:p>
    <w:p w14:paraId="7691638F" w14:textId="77777777" w:rsidR="00FF56AF" w:rsidRDefault="00F80FF2">
      <w:pPr>
        <w:numPr>
          <w:ilvl w:val="0"/>
          <w:numId w:val="1"/>
        </w:numPr>
        <w:ind w:right="0" w:firstLine="0"/>
      </w:pPr>
      <w:r>
        <w:t xml:space="preserve">okamžité platby budú poskytované minimálne tromi </w:t>
      </w:r>
      <w:r>
        <w:t xml:space="preserve">PSP </w:t>
      </w:r>
      <w:r>
        <w:t>v SR, ktorých počet úhrad tvorí významný podiel z cel</w:t>
      </w:r>
      <w:r>
        <w:t xml:space="preserve">kového počtu úhrad v SR za predchádzajúci kalendárny rok, </w:t>
      </w:r>
      <w:r>
        <w:t xml:space="preserve"> </w:t>
      </w:r>
      <w:r>
        <w:t xml:space="preserve">• pre spracovanie okamžitých platieb budú títo </w:t>
      </w:r>
      <w:r>
        <w:t xml:space="preserve">PSP </w:t>
      </w:r>
      <w:r>
        <w:t>používať službu TIPS</w:t>
      </w:r>
      <w:r>
        <w:t xml:space="preserve">. </w:t>
      </w:r>
    </w:p>
    <w:p w14:paraId="42A55B1C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5CA52C3E" w14:textId="77777777" w:rsidR="00FF56AF" w:rsidRDefault="00F80FF2">
      <w:pPr>
        <w:ind w:left="-15" w:right="0" w:firstLine="283"/>
      </w:pPr>
      <w:r>
        <w:t>Uvedené predpok</w:t>
      </w:r>
      <w:r>
        <w:t xml:space="preserve">lady boli </w:t>
      </w:r>
      <w:r>
        <w:t xml:space="preserve">základnými požiadavkami pre spustenie okamžitých platieb </w:t>
      </w:r>
      <w:r>
        <w:t xml:space="preserve">na bankovom trhu SR. </w:t>
      </w:r>
      <w:r>
        <w:t xml:space="preserve">Dňa 1.2.2022 tri slovenské </w:t>
      </w:r>
      <w:r>
        <w:t>banky spus</w:t>
      </w:r>
      <w:r>
        <w:t xml:space="preserve">tili poskytovanie okamžitých </w:t>
      </w:r>
      <w:r>
        <w:t>platieb pre svojich klientov. P</w:t>
      </w:r>
      <w:r>
        <w:t xml:space="preserve">redpokladá </w:t>
      </w:r>
      <w:r>
        <w:t xml:space="preserve">sa </w:t>
      </w:r>
      <w:r>
        <w:t xml:space="preserve">postupné pripojenie ostatných slovenských bánk. </w:t>
      </w:r>
      <w:r>
        <w:t xml:space="preserve"> </w:t>
      </w:r>
    </w:p>
    <w:p w14:paraId="479F3604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41E81C15" w14:textId="77777777" w:rsidR="00FF56AF" w:rsidRDefault="00F80FF2">
      <w:pPr>
        <w:ind w:left="-15" w:right="0" w:firstLine="283"/>
      </w:pPr>
      <w:r>
        <w:rPr>
          <w:b/>
        </w:rPr>
        <w:t>Poskytovanie ok</w:t>
      </w:r>
      <w:r>
        <w:rPr>
          <w:b/>
        </w:rPr>
        <w:t xml:space="preserve">amžitých platieb PSP v SR </w:t>
      </w:r>
      <w:r>
        <w:t xml:space="preserve">je </w:t>
      </w:r>
      <w:r>
        <w:t>v súlade s požiadavkami SCT Inst schémy, tj. pre domáce aj pre cezhraničné platby v EUR platí</w:t>
      </w:r>
      <w:r>
        <w:t xml:space="preserve"> :  </w:t>
      </w:r>
    </w:p>
    <w:p w14:paraId="008A294D" w14:textId="77777777" w:rsidR="00FF56AF" w:rsidRDefault="00F80FF2">
      <w:pPr>
        <w:numPr>
          <w:ilvl w:val="0"/>
          <w:numId w:val="1"/>
        </w:numPr>
        <w:ind w:right="0" w:firstLine="0"/>
      </w:pPr>
      <w:r>
        <w:t xml:space="preserve">Spracovanie okamžitej platby vrátane pripísania prostriedkov na účte príjemcu je do 10 sekúnd, </w:t>
      </w:r>
      <w:r>
        <w:t xml:space="preserve"> </w:t>
      </w:r>
    </w:p>
    <w:p w14:paraId="4F5F1004" w14:textId="77777777" w:rsidR="00FF56AF" w:rsidRDefault="00F80FF2">
      <w:pPr>
        <w:numPr>
          <w:ilvl w:val="0"/>
          <w:numId w:val="1"/>
        </w:numPr>
        <w:ind w:right="0" w:firstLine="0"/>
      </w:pPr>
      <w:r>
        <w:t>Maximálna výška</w:t>
      </w:r>
      <w:r>
        <w:t xml:space="preserve"> </w:t>
      </w:r>
      <w:r>
        <w:t>okamžitej platby</w:t>
      </w:r>
      <w:r>
        <w:t xml:space="preserve"> je 100.000 EUR </w:t>
      </w:r>
      <w:r>
        <w:t xml:space="preserve"> </w:t>
      </w:r>
    </w:p>
    <w:p w14:paraId="0CF64745" w14:textId="77777777" w:rsidR="00FF56AF" w:rsidRDefault="00F80FF2">
      <w:pPr>
        <w:numPr>
          <w:ilvl w:val="0"/>
          <w:numId w:val="1"/>
        </w:numPr>
        <w:ind w:right="0" w:firstLine="0"/>
      </w:pPr>
      <w:r>
        <w:t>Spracovanie okamžitých platieb je nepretržité 24/7/365</w:t>
      </w:r>
      <w:r>
        <w:t xml:space="preserve"> </w:t>
      </w:r>
    </w:p>
    <w:p w14:paraId="5F18CA87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551E7A2E" w14:textId="77777777" w:rsidR="00FF56AF" w:rsidRDefault="00F80FF2">
      <w:pPr>
        <w:spacing w:after="5" w:line="259" w:lineRule="auto"/>
        <w:ind w:right="0" w:firstLine="0"/>
        <w:jc w:val="left"/>
      </w:pPr>
      <w:r>
        <w:t xml:space="preserve"> </w:t>
      </w:r>
    </w:p>
    <w:p w14:paraId="0D420816" w14:textId="77777777" w:rsidR="00FF56AF" w:rsidRDefault="00F80FF2">
      <w:pPr>
        <w:pStyle w:val="Heading1"/>
        <w:ind w:left="705" w:hanging="360"/>
      </w:pPr>
      <w:r>
        <w:t>Lehoty pre vybavenie transakcií typu bankové storno(“</w:t>
      </w:r>
      <w:proofErr w:type="spellStart"/>
      <w:r>
        <w:t>Recall</w:t>
      </w:r>
      <w:proofErr w:type="spellEnd"/>
      <w:r>
        <w:t>”) a opravné zúčtovanie z chyby klienta (“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Recall</w:t>
      </w:r>
      <w:proofErr w:type="spellEnd"/>
      <w:r>
        <w:t>”)</w:t>
      </w:r>
      <w:r>
        <w:t xml:space="preserve"> </w:t>
      </w:r>
    </w:p>
    <w:p w14:paraId="393CF182" w14:textId="77777777" w:rsidR="00FF56AF" w:rsidRDefault="00F80FF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7209E6EF" w14:textId="77777777" w:rsidR="00FF56AF" w:rsidRDefault="00F80FF2">
      <w:pPr>
        <w:ind w:left="-15" w:right="0"/>
      </w:pPr>
      <w:r>
        <w:t>L</w:t>
      </w:r>
      <w:r>
        <w:t>ehoty pre vybavenie transakcií typu bankové storno</w:t>
      </w:r>
      <w:r>
        <w:t xml:space="preserve"> </w:t>
      </w:r>
      <w:r>
        <w:t>(“</w:t>
      </w:r>
      <w:proofErr w:type="spellStart"/>
      <w:r>
        <w:t>Recall</w:t>
      </w:r>
      <w:proofErr w:type="spellEnd"/>
      <w:r>
        <w:t>”) a opravné zúčtovanie z chyby klienta (“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Recall</w:t>
      </w:r>
      <w:proofErr w:type="spellEnd"/>
      <w:r>
        <w:t xml:space="preserve">”) pre domáce </w:t>
      </w:r>
      <w:r>
        <w:t xml:space="preserve">SCT a SCT Inst platby na trhu SR </w:t>
      </w:r>
      <w:r>
        <w:t>budú</w:t>
      </w:r>
      <w:r>
        <w:t xml:space="preserve"> </w:t>
      </w:r>
      <w:r>
        <w:t>dodržiavané</w:t>
      </w:r>
      <w:r>
        <w:t xml:space="preserve"> </w:t>
      </w:r>
      <w:r>
        <w:t xml:space="preserve">v súlade s platným </w:t>
      </w:r>
      <w:proofErr w:type="spellStart"/>
      <w:r>
        <w:t>rulebookom</w:t>
      </w:r>
      <w:proofErr w:type="spellEnd"/>
      <w:r>
        <w:t xml:space="preserve"> pre SCT a SCT Inst platby</w:t>
      </w:r>
      <w:r>
        <w:t xml:space="preserve">, tj. </w:t>
      </w:r>
      <w:r>
        <w:rPr>
          <w:b/>
        </w:rPr>
        <w:t xml:space="preserve">do 15 pracovných dní. </w:t>
      </w:r>
    </w:p>
    <w:p w14:paraId="00ED4F72" w14:textId="77777777" w:rsidR="00FF56AF" w:rsidRDefault="00F80FF2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2B0D7C31" w14:textId="77777777" w:rsidR="00FF56AF" w:rsidRDefault="00F80FF2">
      <w:pPr>
        <w:spacing w:after="5" w:line="259" w:lineRule="auto"/>
        <w:ind w:right="0" w:firstLine="0"/>
        <w:jc w:val="left"/>
      </w:pPr>
      <w:r>
        <w:rPr>
          <w:b/>
        </w:rPr>
        <w:t xml:space="preserve"> </w:t>
      </w:r>
    </w:p>
    <w:p w14:paraId="3F622AFC" w14:textId="77777777" w:rsidR="00FF56AF" w:rsidRDefault="00F80FF2">
      <w:pPr>
        <w:pStyle w:val="Heading1"/>
        <w:ind w:left="705" w:hanging="360"/>
      </w:pPr>
      <w:r>
        <w:t>Dátum valuty transakcie v prípade SE</w:t>
      </w:r>
      <w:r>
        <w:t xml:space="preserve">PA okamžitých platieb </w:t>
      </w:r>
      <w:r>
        <w:t xml:space="preserve"> </w:t>
      </w:r>
    </w:p>
    <w:p w14:paraId="3417D9F4" w14:textId="77777777" w:rsidR="00FF56AF" w:rsidRDefault="00F80FF2">
      <w:pPr>
        <w:spacing w:after="95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211440E" w14:textId="77777777" w:rsidR="00FF56AF" w:rsidRDefault="00F80FF2">
      <w:pPr>
        <w:ind w:left="-15" w:right="0"/>
      </w:pPr>
      <w:r>
        <w:t xml:space="preserve">V </w:t>
      </w:r>
      <w:r>
        <w:t>súvislosti s</w:t>
      </w:r>
      <w:r>
        <w:t xml:space="preserve"> </w:t>
      </w:r>
      <w:proofErr w:type="spellStart"/>
      <w:r>
        <w:t>valutáciou</w:t>
      </w:r>
      <w:proofErr w:type="spellEnd"/>
      <w:r>
        <w:t xml:space="preserve"> okamžitých platieb z</w:t>
      </w:r>
      <w:r>
        <w:t xml:space="preserve"> </w:t>
      </w:r>
      <w:r>
        <w:t>pohľadu klienta, v</w:t>
      </w:r>
      <w:r>
        <w:t xml:space="preserve"> </w:t>
      </w:r>
      <w:r>
        <w:t xml:space="preserve">čase mimo pracovných dní TARGET2, platí </w:t>
      </w:r>
      <w:r>
        <w:t xml:space="preserve"> </w:t>
      </w:r>
      <w:r>
        <w:t>pre slovenský bankový trh</w:t>
      </w:r>
      <w:r>
        <w:t xml:space="preserve"> </w:t>
      </w:r>
      <w:r>
        <w:t>odporúčanie, ktoré je v</w:t>
      </w:r>
      <w:r>
        <w:t xml:space="preserve"> </w:t>
      </w:r>
      <w:r>
        <w:t xml:space="preserve">súlade </w:t>
      </w:r>
      <w:r>
        <w:t xml:space="preserve">s </w:t>
      </w:r>
      <w:r>
        <w:lastRenderedPageBreak/>
        <w:t>odporúčaním AMI</w:t>
      </w:r>
      <w:r>
        <w:t xml:space="preserve">-PAY a </w:t>
      </w:r>
      <w:r>
        <w:t>ktoré bolo zverejnené v</w:t>
      </w:r>
      <w:r>
        <w:t xml:space="preserve"> dokumente </w:t>
      </w:r>
      <w:hyperlink r:id="rId26">
        <w:proofErr w:type="spellStart"/>
        <w:r>
          <w:rPr>
            <w:color w:val="1C355E"/>
            <w:u w:val="single" w:color="1C355E"/>
          </w:rPr>
          <w:t>Value</w:t>
        </w:r>
        <w:proofErr w:type="spellEnd"/>
        <w:r>
          <w:rPr>
            <w:color w:val="1C355E"/>
            <w:u w:val="single" w:color="1C355E"/>
          </w:rPr>
          <w:t xml:space="preserve"> </w:t>
        </w:r>
        <w:proofErr w:type="spellStart"/>
        <w:r>
          <w:rPr>
            <w:color w:val="1C355E"/>
            <w:u w:val="single" w:color="1C355E"/>
          </w:rPr>
          <w:t>dating</w:t>
        </w:r>
        <w:proofErr w:type="spellEnd"/>
        <w:r>
          <w:rPr>
            <w:color w:val="1C355E"/>
            <w:u w:val="single" w:color="1C355E"/>
          </w:rPr>
          <w:t xml:space="preserve"> SCT Inst </w:t>
        </w:r>
      </w:hyperlink>
      <w:hyperlink r:id="rId27">
        <w:r>
          <w:rPr>
            <w:color w:val="1C355E"/>
            <w:u w:val="single" w:color="1C355E"/>
          </w:rPr>
          <w:t>-</w:t>
        </w:r>
      </w:hyperlink>
      <w:hyperlink r:id="rId28">
        <w:r>
          <w:rPr>
            <w:color w:val="1C355E"/>
          </w:rPr>
          <w:t xml:space="preserve"> </w:t>
        </w:r>
      </w:hyperlink>
      <w:hyperlink r:id="rId29">
        <w:proofErr w:type="spellStart"/>
        <w:r>
          <w:rPr>
            <w:color w:val="1C355E"/>
            <w:u w:val="single" w:color="1C355E"/>
          </w:rPr>
          <w:t>non</w:t>
        </w:r>
      </w:hyperlink>
      <w:hyperlink r:id="rId30">
        <w:r>
          <w:rPr>
            <w:color w:val="1C355E"/>
            <w:u w:val="single" w:color="1C355E"/>
          </w:rPr>
          <w:t>-</w:t>
        </w:r>
      </w:hyperlink>
      <w:hyperlink r:id="rId31">
        <w:r>
          <w:rPr>
            <w:color w:val="1C355E"/>
            <w:u w:val="single" w:color="1C355E"/>
          </w:rPr>
          <w:t>binding</w:t>
        </w:r>
        <w:proofErr w:type="spellEnd"/>
        <w:r>
          <w:rPr>
            <w:color w:val="1C355E"/>
            <w:u w:val="single" w:color="1C355E"/>
          </w:rPr>
          <w:t xml:space="preserve"> AMI</w:t>
        </w:r>
      </w:hyperlink>
      <w:hyperlink r:id="rId32">
        <w:r>
          <w:rPr>
            <w:color w:val="1C355E"/>
            <w:u w:val="single" w:color="1C355E"/>
          </w:rPr>
          <w:t>-</w:t>
        </w:r>
      </w:hyperlink>
      <w:hyperlink r:id="rId33">
        <w:r>
          <w:rPr>
            <w:color w:val="1C355E"/>
            <w:u w:val="single" w:color="1C355E"/>
          </w:rPr>
          <w:t xml:space="preserve">Pay </w:t>
        </w:r>
        <w:proofErr w:type="spellStart"/>
        <w:r>
          <w:rPr>
            <w:color w:val="1C355E"/>
            <w:u w:val="single" w:color="1C355E"/>
          </w:rPr>
          <w:t>market</w:t>
        </w:r>
        <w:proofErr w:type="spellEnd"/>
        <w:r>
          <w:rPr>
            <w:color w:val="1C355E"/>
            <w:u w:val="single" w:color="1C355E"/>
          </w:rPr>
          <w:t xml:space="preserve"> </w:t>
        </w:r>
        <w:proofErr w:type="spellStart"/>
        <w:r>
          <w:rPr>
            <w:color w:val="1C355E"/>
            <w:u w:val="single" w:color="1C355E"/>
          </w:rPr>
          <w:t>best</w:t>
        </w:r>
        <w:proofErr w:type="spellEnd"/>
        <w:r>
          <w:rPr>
            <w:color w:val="1C355E"/>
            <w:u w:val="single" w:color="1C355E"/>
          </w:rPr>
          <w:t xml:space="preserve"> </w:t>
        </w:r>
        <w:proofErr w:type="spellStart"/>
        <w:r>
          <w:rPr>
            <w:color w:val="1C355E"/>
            <w:u w:val="single" w:color="1C355E"/>
          </w:rPr>
          <w:t>Practice</w:t>
        </w:r>
        <w:proofErr w:type="spellEnd"/>
      </w:hyperlink>
      <w:hyperlink r:id="rId34">
        <w:r>
          <w:rPr>
            <w:color w:val="1C355E"/>
            <w:u w:val="single" w:color="1C355E"/>
          </w:rPr>
          <w:t>,</w:t>
        </w:r>
      </w:hyperlink>
      <w:r>
        <w:t xml:space="preserve"> </w:t>
      </w:r>
      <w:r>
        <w:t xml:space="preserve">podľa ktorého by mal byť </w:t>
      </w:r>
      <w:r>
        <w:rPr>
          <w:b/>
        </w:rPr>
        <w:t xml:space="preserve">„dátum valuty transakcie rovnaký ako je kalendárny deň jej spracovania“. </w:t>
      </w:r>
    </w:p>
    <w:p w14:paraId="3B6C7B78" w14:textId="77777777" w:rsidR="00FF56AF" w:rsidRDefault="00F80FF2">
      <w:pPr>
        <w:spacing w:after="125" w:line="259" w:lineRule="auto"/>
        <w:ind w:right="0" w:firstLine="0"/>
        <w:jc w:val="left"/>
      </w:pPr>
      <w:r>
        <w:rPr>
          <w:b/>
        </w:rPr>
        <w:t xml:space="preserve"> </w:t>
      </w:r>
    </w:p>
    <w:p w14:paraId="4BC96EC7" w14:textId="77777777" w:rsidR="00FF56AF" w:rsidRDefault="00F80FF2">
      <w:pPr>
        <w:pStyle w:val="Heading1"/>
        <w:ind w:left="705" w:hanging="360"/>
      </w:pPr>
      <w:r>
        <w:t>Mapovanie platobných symbolov do referencie platiteľa</w:t>
      </w:r>
      <w:r>
        <w:t xml:space="preserve"> </w:t>
      </w:r>
    </w:p>
    <w:p w14:paraId="09ABAD60" w14:textId="77777777" w:rsidR="00FF56AF" w:rsidRDefault="00F80FF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A26F0A1" w14:textId="77777777" w:rsidR="00FF56AF" w:rsidRDefault="00F80FF2">
      <w:pPr>
        <w:ind w:left="-15" w:right="0"/>
      </w:pPr>
      <w:r>
        <w:t>Pre SCT Inst platby sa budú používať rov</w:t>
      </w:r>
      <w:r>
        <w:t xml:space="preserve">naké symboly ako sú v súčasnosti používané pre SCT úhrady. Národná banka </w:t>
      </w:r>
      <w:r>
        <w:t xml:space="preserve">Slovenska pripravila dokument </w:t>
      </w:r>
      <w:r>
        <w:t>“Odporúčanie pre účastníkov systému TARGET2</w:t>
      </w:r>
      <w:r>
        <w:t xml:space="preserve">-SK k </w:t>
      </w:r>
      <w:r>
        <w:t xml:space="preserve">spôsobu uvádzania niektorých náležitostí </w:t>
      </w:r>
      <w:r>
        <w:t xml:space="preserve">v </w:t>
      </w:r>
      <w:r>
        <w:t>platobných správach pre platobný systém TARGET2</w:t>
      </w:r>
      <w:r>
        <w:t>-SK</w:t>
      </w:r>
      <w:r>
        <w:t>”</w:t>
      </w:r>
      <w:r>
        <w:t>, kt</w:t>
      </w:r>
      <w:r>
        <w:t>orý bo</w:t>
      </w:r>
      <w:r>
        <w:t xml:space="preserve">l odsúhlasený členmi </w:t>
      </w:r>
      <w:r>
        <w:t xml:space="preserve"> NSG Pay-SK. </w:t>
      </w:r>
      <w:r>
        <w:t xml:space="preserve">Dokument usmerňuje </w:t>
      </w:r>
      <w:r>
        <w:t>PSP</w:t>
      </w:r>
      <w:r>
        <w:t>, ohľadom napĺňania referencie platiteľa</w:t>
      </w:r>
      <w:r>
        <w:t xml:space="preserve"> aj pre </w:t>
      </w:r>
      <w:r>
        <w:t>okamžité platby</w:t>
      </w:r>
      <w:r>
        <w:t xml:space="preserve">. V </w:t>
      </w:r>
      <w:r>
        <w:t>prípade</w:t>
      </w:r>
      <w:r>
        <w:t xml:space="preserve"> SCT Inst platieb, ak </w:t>
      </w:r>
      <w:r>
        <w:t xml:space="preserve">referencia začína znakom lomky ”/”, </w:t>
      </w:r>
      <w:r>
        <w:rPr>
          <w:b/>
        </w:rPr>
        <w:t>bude potrebné pred znak “/” doplniť znak “?”</w:t>
      </w:r>
      <w:r>
        <w:t xml:space="preserve">, z </w:t>
      </w:r>
      <w:r>
        <w:t>dôvodu naplnenia pož</w:t>
      </w:r>
      <w:r>
        <w:t>iadaviek</w:t>
      </w:r>
      <w:r>
        <w:t xml:space="preserve"> na </w:t>
      </w:r>
      <w:r>
        <w:t>správne</w:t>
      </w:r>
      <w:r>
        <w:t xml:space="preserve"> spracovanie platby v TIPS-e.  </w:t>
      </w:r>
    </w:p>
    <w:p w14:paraId="62E9FF2B" w14:textId="77777777" w:rsidR="00FF56AF" w:rsidRDefault="00F80FF2">
      <w:pPr>
        <w:ind w:left="-15" w:right="0" w:firstLine="0"/>
      </w:pPr>
      <w:r>
        <w:t>Dokument je zverejnený na webovej stránke Národnej banky Slovenska</w:t>
      </w:r>
      <w:r>
        <w:t xml:space="preserve"> v </w:t>
      </w:r>
      <w:hyperlink r:id="rId35">
        <w:r>
          <w:rPr>
            <w:color w:val="1C355E"/>
            <w:u w:val="single" w:color="1C355E"/>
          </w:rPr>
          <w:t>Zóne pre</w:t>
        </w:r>
      </w:hyperlink>
      <w:hyperlink r:id="rId36">
        <w:r>
          <w:rPr>
            <w:color w:val="1C355E"/>
          </w:rPr>
          <w:t xml:space="preserve"> </w:t>
        </w:r>
      </w:hyperlink>
      <w:hyperlink r:id="rId37">
        <w:r>
          <w:rPr>
            <w:color w:val="1C355E"/>
            <w:u w:val="single" w:color="1C355E"/>
          </w:rPr>
          <w:t>účastníkov TARGET2</w:t>
        </w:r>
      </w:hyperlink>
      <w:hyperlink r:id="rId38">
        <w:r>
          <w:rPr>
            <w:color w:val="1C355E"/>
            <w:u w:val="single" w:color="1C355E"/>
          </w:rPr>
          <w:t>-</w:t>
        </w:r>
      </w:hyperlink>
      <w:hyperlink r:id="rId39">
        <w:r>
          <w:rPr>
            <w:color w:val="1C355E"/>
            <w:u w:val="single" w:color="1C355E"/>
          </w:rPr>
          <w:t>SK</w:t>
        </w:r>
      </w:hyperlink>
      <w:hyperlink r:id="rId40">
        <w:r>
          <w:t>.</w:t>
        </w:r>
      </w:hyperlink>
      <w:r>
        <w:t xml:space="preserve"> </w:t>
      </w:r>
    </w:p>
    <w:p w14:paraId="45EEF4AE" w14:textId="77777777" w:rsidR="00FF56AF" w:rsidRDefault="00F80FF2">
      <w:pPr>
        <w:spacing w:after="5" w:line="259" w:lineRule="auto"/>
        <w:ind w:right="0" w:firstLine="0"/>
        <w:jc w:val="left"/>
      </w:pPr>
      <w:r>
        <w:t xml:space="preserve"> </w:t>
      </w:r>
    </w:p>
    <w:p w14:paraId="7B2D8BCD" w14:textId="77777777" w:rsidR="00FF56AF" w:rsidRDefault="00F80FF2">
      <w:pPr>
        <w:pStyle w:val="Heading1"/>
        <w:ind w:left="705" w:hanging="360"/>
      </w:pPr>
      <w:r>
        <w:t>Základná</w:t>
      </w:r>
      <w:r>
        <w:t xml:space="preserve"> </w:t>
      </w:r>
      <w:r>
        <w:t>charakteristika služby</w:t>
      </w:r>
      <w:r>
        <w:t xml:space="preserve"> TIPS </w:t>
      </w:r>
    </w:p>
    <w:p w14:paraId="1D593A73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032414BD" w14:textId="77777777" w:rsidR="00FF56AF" w:rsidRDefault="00F80FF2">
      <w:pPr>
        <w:spacing w:after="110"/>
        <w:ind w:left="-15" w:right="0" w:firstLine="283"/>
      </w:pPr>
      <w:r>
        <w:t>Národná banka Slovenska je poskytovateľom</w:t>
      </w:r>
      <w:r>
        <w:t xml:space="preserve"> </w:t>
      </w:r>
      <w:r>
        <w:t xml:space="preserve">služby s názvom </w:t>
      </w:r>
      <w:r>
        <w:t xml:space="preserve">TARGET 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(TIPS). TIPS </w:t>
      </w:r>
      <w:r>
        <w:t>je služba, ktorá slúži na vyrovnanie okamžitých platieb (</w:t>
      </w:r>
      <w:proofErr w:type="spellStart"/>
      <w:r>
        <w:t>instant</w:t>
      </w:r>
      <w:proofErr w:type="spellEnd"/>
      <w:r>
        <w:t xml:space="preserve"> payments) v peniazoch, ktoré sú vedené</w:t>
      </w:r>
      <w:r>
        <w:t xml:space="preserve"> </w:t>
      </w:r>
      <w:r>
        <w:t>v centrálnych bankách na vyhradených účtoch</w:t>
      </w:r>
      <w:r>
        <w:t xml:space="preserve"> (D</w:t>
      </w:r>
      <w:r>
        <w:t xml:space="preserve">CA) </w:t>
      </w:r>
      <w:r>
        <w:t>a ktoré sú z právneho hľadiska otvorené v</w:t>
      </w:r>
      <w:r>
        <w:t xml:space="preserve"> platobnom </w:t>
      </w:r>
      <w:r>
        <w:t>systém</w:t>
      </w:r>
      <w:r>
        <w:t xml:space="preserve">e TARGET2SK. </w:t>
      </w:r>
      <w:r>
        <w:t xml:space="preserve">TIPS DCA účet je účet pre zasielanie a prijímanie okamžitých platieb, ktorý je identifikovaný kódom BIC11. Práva a povinnosti majiteľov TIPS </w:t>
      </w:r>
      <w:r>
        <w:t xml:space="preserve">DCA v TARGET2-SK a </w:t>
      </w:r>
      <w:r>
        <w:t>Národnej banky Sloven</w:t>
      </w:r>
      <w:r>
        <w:t xml:space="preserve">ska sa riadia </w:t>
      </w:r>
      <w:r>
        <w:t>rozhodnut</w:t>
      </w:r>
      <w:r>
        <w:t>ím</w:t>
      </w:r>
      <w:r>
        <w:t xml:space="preserve"> </w:t>
      </w:r>
      <w:r>
        <w:t xml:space="preserve">Národnej banky Slovenska č. 9/2018 o podmienkach otvorenia a vedenia TIPS účelového peňažného účtu (TIPS DCA) v rámci </w:t>
      </w:r>
      <w:r>
        <w:t xml:space="preserve">TARGET2-SK v </w:t>
      </w:r>
      <w:r>
        <w:t>znení neskorších predpisov.</w:t>
      </w:r>
      <w:r>
        <w:t xml:space="preserve"> </w:t>
      </w:r>
    </w:p>
    <w:p w14:paraId="1A3C4AAA" w14:textId="77777777" w:rsidR="00FF56AF" w:rsidRDefault="00F80FF2">
      <w:pPr>
        <w:spacing w:after="109"/>
        <w:ind w:left="-15" w:right="0" w:firstLine="283"/>
      </w:pPr>
      <w:r>
        <w:t xml:space="preserve">TIPS umožňuje </w:t>
      </w:r>
      <w:r>
        <w:t xml:space="preserve">PSP </w:t>
      </w:r>
      <w:r>
        <w:t>ponúkať vyrovnanie domácich a cezhraničných okamžitých platieb v eurách v reálnom čase, a to nepretržite. TIPS ponúka možnosť výberu poskytovateľa sieťových služieb, nakoľko Eurosystém certifikoval pre poskytovanie pripojenia k službe TIPS dvoch poskytovat</w:t>
      </w:r>
      <w:r>
        <w:t>eľov –</w:t>
      </w:r>
      <w:r>
        <w:t xml:space="preserve"> SIA </w:t>
      </w:r>
      <w:proofErr w:type="spellStart"/>
      <w:r>
        <w:t>Colt</w:t>
      </w:r>
      <w:proofErr w:type="spellEnd"/>
      <w:r>
        <w:t xml:space="preserve"> a SWIFT. </w:t>
      </w:r>
    </w:p>
    <w:p w14:paraId="1609117D" w14:textId="77777777" w:rsidR="00FF56AF" w:rsidRDefault="00F80FF2">
      <w:pPr>
        <w:spacing w:after="112"/>
        <w:ind w:left="-15" w:right="0" w:firstLine="283"/>
      </w:pPr>
      <w:r>
        <w:t xml:space="preserve">Ak majiteľ TIPS DCA </w:t>
      </w:r>
      <w:r>
        <w:t xml:space="preserve"> </w:t>
      </w:r>
      <w:r>
        <w:t xml:space="preserve">patrí medzi subjekty, ktoré plnia povinné minimálne rezervy, tak zostatok na TIPS DCA účte sa započíta účastníkovi systému </w:t>
      </w:r>
      <w:r>
        <w:t xml:space="preserve">do </w:t>
      </w:r>
      <w:r>
        <w:t xml:space="preserve">povinných minimálnych </w:t>
      </w:r>
      <w:r>
        <w:t xml:space="preserve">rezerv. </w:t>
      </w:r>
      <w:r>
        <w:t xml:space="preserve">Zostatok na TIPS účte je taktiež súčasťou kalkulácie </w:t>
      </w:r>
      <w:r>
        <w:t>v</w:t>
      </w:r>
      <w:r>
        <w:t xml:space="preserve"> </w:t>
      </w:r>
      <w:r>
        <w:t>prípade</w:t>
      </w:r>
      <w:r>
        <w:t xml:space="preserve"> </w:t>
      </w:r>
      <w:r>
        <w:t>automatického jednodňového refinančného úveru.</w:t>
      </w:r>
      <w:r>
        <w:t xml:space="preserve"> </w:t>
      </w:r>
    </w:p>
    <w:p w14:paraId="74F09597" w14:textId="77777777" w:rsidR="00FF56AF" w:rsidRDefault="00F80FF2">
      <w:pPr>
        <w:spacing w:after="5" w:line="259" w:lineRule="auto"/>
        <w:ind w:left="708" w:right="0" w:firstLine="0"/>
        <w:jc w:val="left"/>
      </w:pPr>
      <w:r>
        <w:t xml:space="preserve"> </w:t>
      </w:r>
    </w:p>
    <w:p w14:paraId="4CA7B000" w14:textId="77777777" w:rsidR="00FF56AF" w:rsidRDefault="00F80FF2">
      <w:pPr>
        <w:pStyle w:val="Heading1"/>
        <w:ind w:left="705" w:hanging="360"/>
      </w:pPr>
      <w:r>
        <w:t>Typy účastníkov TIPS</w:t>
      </w:r>
      <w:r>
        <w:t xml:space="preserve"> </w:t>
      </w:r>
    </w:p>
    <w:p w14:paraId="5817CA70" w14:textId="77777777" w:rsidR="00FF56AF" w:rsidRDefault="00F80FF2">
      <w:pPr>
        <w:spacing w:after="0" w:line="259" w:lineRule="auto"/>
        <w:ind w:right="0" w:firstLine="0"/>
        <w:jc w:val="left"/>
      </w:pPr>
      <w:r>
        <w:rPr>
          <w:i/>
        </w:rPr>
        <w:t xml:space="preserve"> </w:t>
      </w:r>
    </w:p>
    <w:p w14:paraId="23BE0DBF" w14:textId="77777777" w:rsidR="00FF56AF" w:rsidRDefault="00F80FF2">
      <w:pPr>
        <w:spacing w:after="109"/>
        <w:ind w:left="-15" w:right="0" w:firstLine="0"/>
      </w:pPr>
      <w:r>
        <w:rPr>
          <w:i/>
          <w:u w:val="single" w:color="000000"/>
        </w:rPr>
        <w:t>Majiteľ TIPS DCA účtu</w:t>
      </w:r>
      <w:r>
        <w:t xml:space="preserve"> </w:t>
      </w:r>
      <w:r>
        <w:t>je účastník, ktorý</w:t>
      </w:r>
      <w:r>
        <w:t xml:space="preserve"> </w:t>
      </w:r>
      <w:r>
        <w:t>spĺňa kritéria pre účasť v TARGET2 (ale nemusí byť aj účastníkom v TARGET2), je identifikovaný BIC kódom, je držiteľom TIPS účtu, r</w:t>
      </w:r>
      <w:r>
        <w:t>iadi likviditu na TIPS účte a je zodpovedný za odoslané a prijaté platby prostredníctvom svojho účtu.</w:t>
      </w:r>
      <w:r>
        <w:t xml:space="preserve"> </w:t>
      </w:r>
    </w:p>
    <w:p w14:paraId="4D2210CF" w14:textId="77777777" w:rsidR="00FF56AF" w:rsidRDefault="00F80FF2">
      <w:pPr>
        <w:spacing w:after="109"/>
        <w:ind w:left="-15" w:right="0" w:firstLine="0"/>
      </w:pPr>
      <w:r>
        <w:rPr>
          <w:i/>
          <w:u w:val="single" w:color="000000"/>
        </w:rPr>
        <w:lastRenderedPageBreak/>
        <w:t>Dostupná strana</w:t>
      </w:r>
      <w:r>
        <w:t xml:space="preserve"> </w:t>
      </w:r>
      <w:r>
        <w:t>je účastník, ktorý nie je držiteľom TIPS účtu, ale na základe zmluvnej dohody využíva na vyrovnanie okamžitých platieb účet TIPS účastník</w:t>
      </w:r>
      <w:r>
        <w:t xml:space="preserve">a. Je identifikovaný BIC kódom. </w:t>
      </w:r>
      <w:r>
        <w:t xml:space="preserve"> </w:t>
      </w:r>
    </w:p>
    <w:p w14:paraId="2EEBA66C" w14:textId="77777777" w:rsidR="00FF56AF" w:rsidRDefault="00F80FF2">
      <w:pPr>
        <w:spacing w:after="107"/>
        <w:ind w:left="-15" w:right="0" w:firstLine="0"/>
      </w:pPr>
      <w:r>
        <w:rPr>
          <w:i/>
          <w:u w:val="single" w:color="000000"/>
        </w:rPr>
        <w:t>Strana, ktorá zadáva príkaz,</w:t>
      </w:r>
      <w:r>
        <w:t xml:space="preserve"> </w:t>
      </w:r>
      <w:r>
        <w:t>je účastník, ktorý má zmluvnú dohodu s jedným alebo viacerými účastníkmi</w:t>
      </w:r>
      <w:r>
        <w:t xml:space="preserve">, </w:t>
      </w:r>
      <w:r>
        <w:t>na základe ktorej zadáva inštrukcie v ich mene a vykonáva pridelené funkcionality na základe pridelených privilégií. Má</w:t>
      </w:r>
      <w:r>
        <w:t xml:space="preserve"> zriadené priame pripojenie </w:t>
      </w:r>
      <w:r>
        <w:t xml:space="preserve">k TIPS.   </w:t>
      </w:r>
    </w:p>
    <w:p w14:paraId="215C532E" w14:textId="77777777" w:rsidR="00FF56AF" w:rsidRDefault="00F80FF2">
      <w:pPr>
        <w:spacing w:after="105"/>
        <w:ind w:left="-15" w:right="0" w:firstLine="0"/>
      </w:pPr>
      <w:r>
        <w:rPr>
          <w:i/>
          <w:u w:val="single" w:color="000000"/>
        </w:rPr>
        <w:t>Centrálna banka</w:t>
      </w:r>
      <w:r>
        <w:t xml:space="preserve"> otv</w:t>
      </w:r>
      <w:r>
        <w:t>ára TIPS účty pre účastníkov a</w:t>
      </w:r>
      <w:r>
        <w:t xml:space="preserve"> </w:t>
      </w:r>
      <w:r>
        <w:t>môž</w:t>
      </w:r>
      <w:r>
        <w:t xml:space="preserve">e </w:t>
      </w:r>
      <w:r>
        <w:t>byť aj účastník.</w:t>
      </w:r>
      <w:r>
        <w:t xml:space="preserve"> </w:t>
      </w:r>
    </w:p>
    <w:p w14:paraId="6DEFCC4C" w14:textId="77777777" w:rsidR="00FF56AF" w:rsidRDefault="00F80FF2">
      <w:pPr>
        <w:spacing w:after="5" w:line="259" w:lineRule="auto"/>
        <w:ind w:right="0" w:firstLine="0"/>
        <w:jc w:val="left"/>
      </w:pPr>
      <w:r>
        <w:t xml:space="preserve"> </w:t>
      </w:r>
    </w:p>
    <w:p w14:paraId="237D6F7B" w14:textId="77777777" w:rsidR="00FF56AF" w:rsidRDefault="00F80FF2">
      <w:pPr>
        <w:pStyle w:val="Heading1"/>
        <w:ind w:left="705" w:hanging="360"/>
      </w:pPr>
      <w:r>
        <w:t xml:space="preserve">Proces </w:t>
      </w:r>
      <w:r>
        <w:t>vstupu účastníka do TIPS</w:t>
      </w:r>
      <w:r>
        <w:t xml:space="preserve"> </w:t>
      </w:r>
    </w:p>
    <w:p w14:paraId="1E2A7C81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5EF72AE4" w14:textId="77777777" w:rsidR="00FF56AF" w:rsidRDefault="00F80FF2">
      <w:pPr>
        <w:spacing w:after="109"/>
        <w:ind w:left="-15" w:right="0"/>
      </w:pPr>
      <w:r>
        <w:t>Žiadateľ o</w:t>
      </w:r>
      <w:r>
        <w:t xml:space="preserve"> </w:t>
      </w:r>
      <w:r>
        <w:t>vstup do služby TIPS kontaktuje Národnú banku Slovenska a požiada o príslušné registračné formuláre. Účastník TIPS je zodpovedný za vypĺňanie a</w:t>
      </w:r>
      <w:r>
        <w:t xml:space="preserve"> zasielanie svojich </w:t>
      </w:r>
      <w:r>
        <w:t>registračných formulárov</w:t>
      </w:r>
      <w:r>
        <w:t xml:space="preserve"> </w:t>
      </w:r>
      <w:r>
        <w:t>(zatiaľ len do testovacieho pro</w:t>
      </w:r>
      <w:r>
        <w:t>stredia). Z</w:t>
      </w:r>
      <w:r>
        <w:t xml:space="preserve">a účastníka typu dostupná </w:t>
      </w:r>
      <w:r>
        <w:t>strana vypĺňa registračné formuláre majiteľ TIPS účtu. Pri vypĺňaní registračných formulárov môže účastník konzultovať všetky otázky s</w:t>
      </w:r>
      <w:r>
        <w:t xml:space="preserve"> </w:t>
      </w:r>
      <w:r>
        <w:t>NBS. Následne je potrebné registračné formuláre vytlačiť</w:t>
      </w:r>
      <w:r>
        <w:t xml:space="preserve">, </w:t>
      </w:r>
      <w:r>
        <w:t>podpísať štatutárnymi zást</w:t>
      </w:r>
      <w:r>
        <w:t>upcami a zas</w:t>
      </w:r>
      <w:r>
        <w:t>lať</w:t>
      </w:r>
      <w:r>
        <w:t xml:space="preserve"> na adresu N</w:t>
      </w:r>
      <w:r>
        <w:t>árodná ban</w:t>
      </w:r>
      <w:r>
        <w:t xml:space="preserve">ka Slovenska, odbor platobných systémov, Imricha </w:t>
      </w:r>
      <w:proofErr w:type="spellStart"/>
      <w:r>
        <w:t>Karvaša</w:t>
      </w:r>
      <w:proofErr w:type="spellEnd"/>
      <w:r>
        <w:t xml:space="preserve"> 1, </w:t>
      </w:r>
      <w:r>
        <w:t xml:space="preserve">Bratislava 813 25 </w:t>
      </w:r>
      <w:r>
        <w:t xml:space="preserve">(v prípade otázok je možné kontaktovať špecialistov na mailovej </w:t>
      </w:r>
      <w:r>
        <w:t xml:space="preserve">adrese: target@nbs.sk). </w:t>
      </w:r>
      <w:r>
        <w:t>Na základe týchto registračných formulárov NBS vloží statické údaje a</w:t>
      </w:r>
      <w:r>
        <w:t xml:space="preserve"> </w:t>
      </w:r>
      <w:r>
        <w:t>nastaví požadované k</w:t>
      </w:r>
      <w:r>
        <w:t>onfigurácie</w:t>
      </w:r>
      <w:r>
        <w:t xml:space="preserve"> v </w:t>
      </w:r>
      <w:r>
        <w:t>testovacom prostredí</w:t>
      </w:r>
      <w:r>
        <w:t xml:space="preserve">. </w:t>
      </w:r>
      <w:r>
        <w:t>Účastník</w:t>
      </w:r>
      <w:r>
        <w:t xml:space="preserve"> </w:t>
      </w:r>
      <w:r>
        <w:t>si následne</w:t>
      </w:r>
      <w:r>
        <w:t xml:space="preserve"> </w:t>
      </w:r>
      <w:r>
        <w:t>skontroluje správnosť údajov.</w:t>
      </w:r>
      <w:r>
        <w:t xml:space="preserve">  </w:t>
      </w:r>
    </w:p>
    <w:p w14:paraId="4B35585A" w14:textId="77777777" w:rsidR="00FF56AF" w:rsidRDefault="00F80FF2">
      <w:pPr>
        <w:ind w:left="-15" w:right="0"/>
      </w:pPr>
      <w:r>
        <w:t>Po zriadení pripojenia vykoná účastník test konektivity a</w:t>
      </w:r>
      <w:r>
        <w:t xml:space="preserve"> </w:t>
      </w:r>
      <w:r>
        <w:t>následne zašle potvr</w:t>
      </w:r>
      <w:r>
        <w:t xml:space="preserve">denie, </w:t>
      </w:r>
      <w:r>
        <w:t>že účastník a jeho aplikácie dokážu komunikovať s platformou po technickej stránke.</w:t>
      </w:r>
      <w:r>
        <w:t xml:space="preserve"> </w:t>
      </w:r>
      <w:r>
        <w:t>Nasleduje certifikačné testovanie, ktoré pozostáva z vykonania certifikačných testov na strane účastníka a deklarácie o vykonaní testov do NBS</w:t>
      </w:r>
      <w:r>
        <w:t xml:space="preserve">. </w:t>
      </w:r>
      <w:r>
        <w:t>Dôležitou súčasťou fá</w:t>
      </w:r>
      <w:r>
        <w:t xml:space="preserve">zy </w:t>
      </w:r>
      <w:r>
        <w:t>test</w:t>
      </w:r>
      <w:r>
        <w:t>ovania je testovanie spracovania okamžitých platieb medzi</w:t>
      </w:r>
      <w:r>
        <w:t xml:space="preserve"> PSP </w:t>
      </w:r>
      <w:r>
        <w:t>navzájom. Odporúča sa, aby pristupujúci PSP vykonal sadu pozitívnych a</w:t>
      </w:r>
      <w:r>
        <w:t xml:space="preserve"> </w:t>
      </w:r>
      <w:r>
        <w:t xml:space="preserve">negatívnych testovacích scenárov </w:t>
      </w:r>
      <w:r>
        <w:t xml:space="preserve">s </w:t>
      </w:r>
      <w:r>
        <w:t xml:space="preserve">PSP už zapojenými do schémy okamžitých platieb. </w:t>
      </w:r>
      <w:r>
        <w:t xml:space="preserve">S </w:t>
      </w:r>
      <w:r>
        <w:t xml:space="preserve">cieľom zabezpečiť plynulosť </w:t>
      </w:r>
      <w:r>
        <w:t>a d</w:t>
      </w:r>
      <w:r>
        <w:t>ostupno</w:t>
      </w:r>
      <w:r>
        <w:t>sť platobného styku v</w:t>
      </w:r>
      <w:r>
        <w:t xml:space="preserve"> </w:t>
      </w:r>
      <w:r>
        <w:t>SR je tiež odporúčaná  realizácia záťažových testov na strane online rozhraní a sieťovej komunikácie PSP, aby sa potvrdila ich priepustnosť a pripravenosť na zvyšovanie počtov transakcií</w:t>
      </w:r>
      <w:r>
        <w:t xml:space="preserve">. </w:t>
      </w:r>
    </w:p>
    <w:p w14:paraId="588B4145" w14:textId="77777777" w:rsidR="00FF56AF" w:rsidRDefault="00F80FF2">
      <w:pPr>
        <w:spacing w:after="0" w:line="259" w:lineRule="auto"/>
        <w:ind w:left="358" w:right="0" w:firstLine="0"/>
        <w:jc w:val="left"/>
      </w:pPr>
      <w:r>
        <w:t xml:space="preserve"> </w:t>
      </w:r>
    </w:p>
    <w:p w14:paraId="7153E654" w14:textId="77777777" w:rsidR="00FF56AF" w:rsidRDefault="00F80FF2">
      <w:pPr>
        <w:spacing w:after="109"/>
        <w:ind w:left="-15" w:right="0"/>
      </w:pPr>
      <w:r>
        <w:t>Žiadateľ o vstup na záver zašle na adresu N</w:t>
      </w:r>
      <w:r>
        <w:t>BS, odbor platobných systémov</w:t>
      </w:r>
      <w:r>
        <w:t xml:space="preserve"> </w:t>
      </w:r>
      <w:r>
        <w:t>registračné</w:t>
      </w:r>
      <w:r>
        <w:t xml:space="preserve"> </w:t>
      </w:r>
      <w:r>
        <w:t>formulár</w:t>
      </w:r>
      <w:r>
        <w:t xml:space="preserve">e </w:t>
      </w:r>
      <w:r>
        <w:t>do produkčného prostredia</w:t>
      </w:r>
      <w:r>
        <w:t xml:space="preserve"> a </w:t>
      </w:r>
      <w:r>
        <w:t xml:space="preserve">spustí sa proces podpisovania zmluvy o vedení TIPS DCA účtu medzi účastníkom a NBS. NBS následne zadá statické údaje a nastaví požadované konfigurácie </w:t>
      </w:r>
      <w:r>
        <w:t xml:space="preserve">v </w:t>
      </w:r>
      <w:r>
        <w:t>produkčnom prostredí TI</w:t>
      </w:r>
      <w:r>
        <w:t>PS</w:t>
      </w:r>
      <w:r>
        <w:t xml:space="preserve">. Po kontrole </w:t>
      </w:r>
      <w:r>
        <w:t>správnos</w:t>
      </w:r>
      <w:r>
        <w:t xml:space="preserve">ti </w:t>
      </w:r>
      <w:r>
        <w:t>údajov</w:t>
      </w:r>
      <w:r>
        <w:t xml:space="preserve"> je </w:t>
      </w:r>
      <w:r>
        <w:t>žiadateľ zaradený do produkčného prostredia služby TIPS.</w:t>
      </w:r>
      <w:r>
        <w:t xml:space="preserve"> </w:t>
      </w:r>
    </w:p>
    <w:p w14:paraId="3AB824CB" w14:textId="77777777" w:rsidR="00FF56AF" w:rsidRDefault="00F80FF2">
      <w:pPr>
        <w:spacing w:after="109"/>
        <w:ind w:left="-15" w:right="0"/>
      </w:pPr>
      <w:r>
        <w:t>Z pohľadu časového harmonogramu registrácie je potrebné zohľadniť potrebu dostatočného časového priestoru pre všetky kroky potrebné pre vstup do služby TIPS (tec</w:t>
      </w:r>
      <w:r>
        <w:t>hnické pripojenie, registrácia, testovanie</w:t>
      </w:r>
      <w:r>
        <w:t>, podpis zmluvy</w:t>
      </w:r>
      <w:r>
        <w:t xml:space="preserve">). Celková dĺžka vstupného procesu je závislá od schopnosti účastníka TIPS absolvovať testovanie, od nastavenia </w:t>
      </w:r>
      <w:r>
        <w:t xml:space="preserve">konektivity a nastavenia </w:t>
      </w:r>
      <w:r>
        <w:rPr>
          <w:b/>
        </w:rPr>
        <w:t>interných systémov</w:t>
      </w:r>
      <w:r>
        <w:t xml:space="preserve"> </w:t>
      </w:r>
      <w:r>
        <w:t xml:space="preserve">účastníka. Podľa skúseností NBS </w:t>
      </w:r>
      <w:r>
        <w:t xml:space="preserve">s </w:t>
      </w:r>
      <w:r>
        <w:t>pripojení</w:t>
      </w:r>
      <w:r>
        <w:t xml:space="preserve">m doterajších účastníkov TIPS je potrebné vyhradiť </w:t>
      </w:r>
      <w:r>
        <w:t xml:space="preserve">si </w:t>
      </w:r>
      <w:r>
        <w:t>časový priestor v</w:t>
      </w:r>
      <w:r>
        <w:t xml:space="preserve"> </w:t>
      </w:r>
      <w:r>
        <w:t>dĺžke minimálne 3 mesiace.</w:t>
      </w:r>
      <w:r>
        <w:t xml:space="preserve"> </w:t>
      </w:r>
    </w:p>
    <w:p w14:paraId="45685863" w14:textId="77777777" w:rsidR="00FF56AF" w:rsidRDefault="00F80FF2">
      <w:pPr>
        <w:ind w:left="-15" w:right="0"/>
      </w:pPr>
      <w:r>
        <w:lastRenderedPageBreak/>
        <w:t>Zároveň je potrebné vykonať registráci</w:t>
      </w:r>
      <w:r>
        <w:t xml:space="preserve">u do </w:t>
      </w:r>
      <w:proofErr w:type="spellStart"/>
      <w:r>
        <w:t>Closed</w:t>
      </w:r>
      <w:proofErr w:type="spellEnd"/>
      <w:r>
        <w:t xml:space="preserve"> User Group (CUG) v </w:t>
      </w:r>
      <w:r>
        <w:t>rámci poskytovateľa sieťovej konektivity</w:t>
      </w:r>
      <w:r>
        <w:t xml:space="preserve">, </w:t>
      </w:r>
      <w:r>
        <w:t xml:space="preserve">ktorým môže byť spoločnosť </w:t>
      </w:r>
      <w:r>
        <w:t xml:space="preserve">SWIFT alebo SIA. </w:t>
      </w:r>
      <w:r>
        <w:t>P</w:t>
      </w:r>
      <w:r>
        <w:t>oskytovateľ sieťovej konektivity zabezpečí</w:t>
      </w:r>
      <w:r>
        <w:t xml:space="preserve"> </w:t>
      </w:r>
      <w:r>
        <w:t>pre účastníka</w:t>
      </w:r>
      <w:r>
        <w:t xml:space="preserve"> </w:t>
      </w:r>
      <w:r>
        <w:t>sieťovú konektivitu na ESMIG (prístupová brána k TIPS), komunikáciu v režime A2A a U2A, digitálne certifikáty a samozrejme aj technickú podporu. Konkrétne účastník zadá žiadosť</w:t>
      </w:r>
      <w:r>
        <w:t xml:space="preserve"> </w:t>
      </w:r>
      <w:r>
        <w:t>cez webstránku poskyto</w:t>
      </w:r>
      <w:r>
        <w:t>vateľa sieťovej konektivity (</w:t>
      </w:r>
      <w:r>
        <w:t>SWIFT alebo SIA</w:t>
      </w:r>
      <w:r>
        <w:t>). Túto požiadavku schvaľuje NBS spolu s technickým</w:t>
      </w:r>
      <w:r>
        <w:t xml:space="preserve"> </w:t>
      </w:r>
      <w:r>
        <w:t>operátorom služby TIPS</w:t>
      </w:r>
      <w:r>
        <w:t xml:space="preserve">. </w:t>
      </w:r>
    </w:p>
    <w:p w14:paraId="4F13A33C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3F6A0366" w14:textId="77777777" w:rsidR="00FF56AF" w:rsidRDefault="00F80FF2">
      <w:pPr>
        <w:ind w:left="-15" w:right="0"/>
      </w:pPr>
      <w:r>
        <w:t>Na základe uvedeného možno uviesť nasledovný sumárny h</w:t>
      </w:r>
      <w:r>
        <w:t xml:space="preserve">armonogram krokov, </w:t>
      </w:r>
      <w:r>
        <w:t>ktoré z</w:t>
      </w:r>
      <w:r>
        <w:t xml:space="preserve"> </w:t>
      </w:r>
      <w:r>
        <w:t>pohľadu účastníka TIPS je nevyhnutné uskutočniť voči NBS</w:t>
      </w:r>
      <w:r>
        <w:t xml:space="preserve">: </w:t>
      </w:r>
    </w:p>
    <w:p w14:paraId="61112849" w14:textId="77777777" w:rsidR="00FF56AF" w:rsidRDefault="00F80FF2">
      <w:pPr>
        <w:numPr>
          <w:ilvl w:val="0"/>
          <w:numId w:val="2"/>
        </w:numPr>
        <w:ind w:right="0" w:hanging="360"/>
      </w:pPr>
      <w:r>
        <w:t xml:space="preserve">vyplnenie a </w:t>
      </w:r>
      <w:r>
        <w:t>zaslanie registračných formulárov do testovacieho prostredia,</w:t>
      </w:r>
      <w:r>
        <w:t xml:space="preserve"> testovanie konektivity, </w:t>
      </w:r>
    </w:p>
    <w:p w14:paraId="6A435641" w14:textId="77777777" w:rsidR="00FF56AF" w:rsidRDefault="00F80FF2">
      <w:pPr>
        <w:numPr>
          <w:ilvl w:val="0"/>
          <w:numId w:val="2"/>
        </w:numPr>
        <w:ind w:right="0" w:hanging="360"/>
      </w:pPr>
      <w:r>
        <w:t>certifikačné testovanie,</w:t>
      </w:r>
      <w:r>
        <w:t xml:space="preserve"> </w:t>
      </w:r>
    </w:p>
    <w:p w14:paraId="3450DE5F" w14:textId="77777777" w:rsidR="00FF56AF" w:rsidRDefault="00F80FF2">
      <w:pPr>
        <w:numPr>
          <w:ilvl w:val="0"/>
          <w:numId w:val="2"/>
        </w:numPr>
        <w:spacing w:after="13" w:line="251" w:lineRule="auto"/>
        <w:ind w:right="0" w:hanging="360"/>
      </w:pPr>
      <w:r>
        <w:t xml:space="preserve">zaslanie potvrdenia o </w:t>
      </w:r>
      <w:r>
        <w:t>úspešnom vykonaní testovania</w:t>
      </w:r>
      <w:r>
        <w:t xml:space="preserve"> (potvrdenie o priprav</w:t>
      </w:r>
      <w:r>
        <w:t xml:space="preserve">enosti k </w:t>
      </w:r>
      <w:proofErr w:type="spellStart"/>
      <w:r>
        <w:t>Readiness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od CSM </w:t>
      </w:r>
      <w:proofErr w:type="spellStart"/>
      <w:r>
        <w:t>providera</w:t>
      </w:r>
      <w:proofErr w:type="spellEnd"/>
      <w:r>
        <w:t xml:space="preserve">), </w:t>
      </w:r>
    </w:p>
    <w:p w14:paraId="1D6FA56D" w14:textId="77777777" w:rsidR="00FF56AF" w:rsidRDefault="00F80FF2">
      <w:pPr>
        <w:numPr>
          <w:ilvl w:val="0"/>
          <w:numId w:val="2"/>
        </w:numPr>
        <w:ind w:right="0" w:hanging="360"/>
      </w:pPr>
      <w:r>
        <w:t>pristúpenie k</w:t>
      </w:r>
      <w:r>
        <w:t xml:space="preserve"> SCT Inst </w:t>
      </w:r>
      <w:r>
        <w:t>schéme a</w:t>
      </w:r>
      <w:r>
        <w:t xml:space="preserve"> </w:t>
      </w:r>
      <w:r>
        <w:t>stanovenie dátumu pripravenosti,</w:t>
      </w:r>
      <w:r>
        <w:t xml:space="preserve"> </w:t>
      </w:r>
    </w:p>
    <w:p w14:paraId="5F2A01F0" w14:textId="77777777" w:rsidR="00FF56AF" w:rsidRDefault="00F80FF2">
      <w:pPr>
        <w:numPr>
          <w:ilvl w:val="0"/>
          <w:numId w:val="2"/>
        </w:numPr>
        <w:ind w:right="0" w:hanging="360"/>
      </w:pPr>
      <w:r>
        <w:t xml:space="preserve">vyplnenie a </w:t>
      </w:r>
      <w:r>
        <w:t>zaslanie registračných formulárov do produkčného prostredia</w:t>
      </w:r>
      <w:r>
        <w:t xml:space="preserve"> TIPS, </w:t>
      </w:r>
    </w:p>
    <w:p w14:paraId="69994EFE" w14:textId="77777777" w:rsidR="00FF56AF" w:rsidRDefault="00F80FF2">
      <w:pPr>
        <w:numPr>
          <w:ilvl w:val="0"/>
          <w:numId w:val="2"/>
        </w:numPr>
        <w:ind w:right="0" w:hanging="360"/>
      </w:pPr>
      <w:r>
        <w:t xml:space="preserve">podpis zmluvy o </w:t>
      </w:r>
      <w:r>
        <w:t>vedení TIPS DCA účtu medzi účastníkom a</w:t>
      </w:r>
      <w:r>
        <w:t xml:space="preserve"> NBS, </w:t>
      </w:r>
    </w:p>
    <w:p w14:paraId="39785B50" w14:textId="77777777" w:rsidR="00FF56AF" w:rsidRDefault="00F80FF2">
      <w:pPr>
        <w:numPr>
          <w:ilvl w:val="0"/>
          <w:numId w:val="2"/>
        </w:numPr>
        <w:spacing w:after="0" w:line="268" w:lineRule="auto"/>
        <w:ind w:right="0" w:hanging="360"/>
      </w:pPr>
      <w:r>
        <w:t>regis</w:t>
      </w:r>
      <w:r>
        <w:t>trácia do CUG poskytovateľa sieťovej konektivity,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zadanie statických dát a</w:t>
      </w:r>
      <w:r>
        <w:t xml:space="preserve"> </w:t>
      </w:r>
      <w:r>
        <w:t>otvorenie TIPS DCA účtu,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prevádzka účastníka v </w:t>
      </w:r>
      <w:r>
        <w:t xml:space="preserve">TIPS od </w:t>
      </w:r>
      <w:r>
        <w:t xml:space="preserve">dohodnutého dátumu. </w:t>
      </w:r>
      <w:r>
        <w:t xml:space="preserve"> </w:t>
      </w:r>
    </w:p>
    <w:p w14:paraId="5953DB43" w14:textId="77777777" w:rsidR="00FF56AF" w:rsidRDefault="00F80FF2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10F72F5" w14:textId="77777777" w:rsidR="00FF56AF" w:rsidRDefault="00F80FF2">
      <w:pPr>
        <w:ind w:left="-15" w:right="0"/>
      </w:pPr>
      <w:r>
        <w:t xml:space="preserve">Dĺžka vstupného procesu závisí od schopnosti účastníka TIPS absolvovať testovanie, </w:t>
      </w:r>
      <w:r>
        <w:t>od nastavenia konektivity a nastave</w:t>
      </w:r>
      <w:r>
        <w:t>nia vnútorných systémov účastníka –</w:t>
      </w:r>
      <w:r>
        <w:t xml:space="preserve"> </w:t>
      </w:r>
      <w:r>
        <w:t xml:space="preserve">predpokladaná doba prístupového procesu účastníka je do troch </w:t>
      </w:r>
      <w:r>
        <w:t xml:space="preserve">mesiacov. </w:t>
      </w:r>
    </w:p>
    <w:p w14:paraId="48B9DDC5" w14:textId="77777777" w:rsidR="00FF56AF" w:rsidRDefault="00F80FF2">
      <w:pPr>
        <w:spacing w:after="5" w:line="259" w:lineRule="auto"/>
        <w:ind w:right="0" w:firstLine="0"/>
        <w:jc w:val="left"/>
      </w:pPr>
      <w:r>
        <w:t xml:space="preserve"> </w:t>
      </w:r>
    </w:p>
    <w:p w14:paraId="1D7DB453" w14:textId="77777777" w:rsidR="00FF56AF" w:rsidRDefault="00F80FF2">
      <w:pPr>
        <w:pStyle w:val="Heading1"/>
        <w:ind w:left="705" w:hanging="360"/>
      </w:pPr>
      <w:r>
        <w:t>Pristúpenie PSP do schémy S</w:t>
      </w:r>
      <w:r>
        <w:t>EPA okamžitých platieb</w:t>
      </w:r>
      <w:r>
        <w:t xml:space="preserve"> </w:t>
      </w:r>
    </w:p>
    <w:p w14:paraId="7A7B865A" w14:textId="77777777" w:rsidR="00FF56AF" w:rsidRDefault="00F80FF2">
      <w:pPr>
        <w:spacing w:after="0" w:line="259" w:lineRule="auto"/>
        <w:ind w:left="49" w:right="0" w:firstLine="0"/>
        <w:jc w:val="center"/>
      </w:pPr>
      <w:r>
        <w:rPr>
          <w:b/>
        </w:rPr>
        <w:t xml:space="preserve"> </w:t>
      </w:r>
    </w:p>
    <w:p w14:paraId="6FDE1F5B" w14:textId="77777777" w:rsidR="00FF56AF" w:rsidRDefault="00F80FF2">
      <w:pPr>
        <w:ind w:left="-15" w:right="0"/>
      </w:pPr>
      <w:r>
        <w:t>PSP, ktorý sa rozhodne poskytovať okamžité platby pre svojich klientov, okrem vybudovania riešenia na strane svojho bankového systému a</w:t>
      </w:r>
      <w:r>
        <w:t xml:space="preserve"> </w:t>
      </w:r>
      <w:r>
        <w:t xml:space="preserve">pripojenia sa do platobného systému pre okamžité platby (TIPS alebo iný), musí </w:t>
      </w:r>
      <w:r>
        <w:rPr>
          <w:b/>
        </w:rPr>
        <w:t>pristúpiť k sch</w:t>
      </w:r>
      <w:r>
        <w:rPr>
          <w:b/>
        </w:rPr>
        <w:t xml:space="preserve">éme </w:t>
      </w:r>
      <w:r>
        <w:t xml:space="preserve">pre SEPA </w:t>
      </w:r>
      <w:r>
        <w:t>okamžité platby (SCT Inst schéma).</w:t>
      </w:r>
      <w:r>
        <w:t xml:space="preserve"> </w:t>
      </w:r>
    </w:p>
    <w:p w14:paraId="3765DF38" w14:textId="77777777" w:rsidR="00FF56AF" w:rsidRDefault="00F80FF2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5A31363E" w14:textId="77777777" w:rsidR="00FF56AF" w:rsidRDefault="00F80FF2">
      <w:pPr>
        <w:ind w:left="-15" w:right="0"/>
      </w:pPr>
      <w:r>
        <w:t xml:space="preserve">SCT Inst schému riadi Európska platobná rada (EPC), na ktorú PSP smeruje </w:t>
      </w:r>
      <w:r>
        <w:t xml:space="preserve">svoju </w:t>
      </w:r>
      <w:r>
        <w:t>žiadosť o pristúpenie do schémy. Aby sa PSP mohol stať členom schémy musí spĺňať požiadavky uvedené v</w:t>
      </w:r>
      <w:r>
        <w:t xml:space="preserve"> </w:t>
      </w:r>
      <w:r>
        <w:t>pravidlách schémy (the S</w:t>
      </w:r>
      <w:r>
        <w:t xml:space="preserve">EPA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Management </w:t>
      </w:r>
      <w:proofErr w:type="spellStart"/>
      <w:r>
        <w:t>Rules</w:t>
      </w:r>
      <w:proofErr w:type="spellEnd"/>
      <w:r>
        <w:t xml:space="preserve">) a </w:t>
      </w:r>
      <w:r>
        <w:t>podpísať prístupovú dokumentáciu vrátane Zmluvy o</w:t>
      </w:r>
      <w:r>
        <w:t xml:space="preserve"> </w:t>
      </w:r>
      <w:r>
        <w:t xml:space="preserve">pristúpení (the </w:t>
      </w:r>
      <w:proofErr w:type="spellStart"/>
      <w:r>
        <w:t>Adherence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ďalej len </w:t>
      </w:r>
      <w:r>
        <w:rPr>
          <w:b/>
        </w:rPr>
        <w:t>Zmluva</w:t>
      </w:r>
      <w:r>
        <w:t>)</w:t>
      </w:r>
      <w:r>
        <w:rPr>
          <w:b/>
        </w:rPr>
        <w:t xml:space="preserve">. </w:t>
      </w:r>
    </w:p>
    <w:p w14:paraId="2CFACCA1" w14:textId="6C48C15C" w:rsidR="00FF56AF" w:rsidRDefault="00F80FF2">
      <w:pPr>
        <w:ind w:left="-15" w:right="0" w:firstLine="0"/>
      </w:pPr>
      <w:r>
        <w:t>Podrobné</w:t>
      </w:r>
      <w:r>
        <w:rPr>
          <w:b/>
        </w:rPr>
        <w:t xml:space="preserve"> informácie k procesu pristúpenia</w:t>
      </w:r>
      <w:r>
        <w:t xml:space="preserve"> </w:t>
      </w:r>
      <w:r>
        <w:t>nových účastníkov do SEPA schém a všetky potrebné podporné dokumenty</w:t>
      </w:r>
      <w:r>
        <w:t xml:space="preserve"> sú zverejnené na webe </w:t>
      </w:r>
      <w:hyperlink r:id="rId41">
        <w:r>
          <w:rPr>
            <w:color w:val="1C355E"/>
            <w:u w:val="single" w:color="1C355E"/>
          </w:rPr>
          <w:t>E</w:t>
        </w:r>
        <w:r>
          <w:rPr>
            <w:color w:val="1C355E"/>
            <w:u w:val="single" w:color="1C355E"/>
          </w:rPr>
          <w:t>P</w:t>
        </w:r>
        <w:r>
          <w:rPr>
            <w:color w:val="1C355E"/>
            <w:u w:val="single" w:color="1C355E"/>
          </w:rPr>
          <w:t>C</w:t>
        </w:r>
      </w:hyperlink>
      <w:hyperlink r:id="rId42">
        <w:r>
          <w:t xml:space="preserve"> </w:t>
        </w:r>
      </w:hyperlink>
      <w:r>
        <w:t xml:space="preserve">.  </w:t>
      </w:r>
    </w:p>
    <w:p w14:paraId="2C8909BE" w14:textId="77777777" w:rsidR="00FF56AF" w:rsidRDefault="00F80FF2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20477BEB" w14:textId="77777777" w:rsidR="00FF56AF" w:rsidRDefault="00F80FF2">
      <w:pPr>
        <w:ind w:left="-15" w:right="0" w:firstLine="427"/>
      </w:pPr>
      <w:r>
        <w:t>Každý subjekt, ktorý sa plánuje</w:t>
      </w:r>
      <w:r>
        <w:t xml:space="preserve"> prihlásiť do schémy, v</w:t>
      </w:r>
      <w:r>
        <w:t xml:space="preserve"> </w:t>
      </w:r>
      <w:r>
        <w:t>prvom kroku posúdi, či a</w:t>
      </w:r>
      <w:r>
        <w:t xml:space="preserve"> ako </w:t>
      </w:r>
      <w:r>
        <w:t xml:space="preserve">spĺňa tzv. </w:t>
      </w:r>
      <w:proofErr w:type="spellStart"/>
      <w:r>
        <w:rPr>
          <w:b/>
        </w:rPr>
        <w:t>Eligibility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Criteria</w:t>
      </w:r>
      <w:proofErr w:type="spellEnd"/>
      <w:r>
        <w:rPr>
          <w:b/>
        </w:rPr>
        <w:t xml:space="preserve">, </w:t>
      </w:r>
      <w:r>
        <w:t>ktoré sú uvedené</w:t>
      </w:r>
      <w:r>
        <w:rPr>
          <w:b/>
        </w:rPr>
        <w:t xml:space="preserve"> </w:t>
      </w:r>
      <w:r>
        <w:t xml:space="preserve">v dokumente </w:t>
      </w:r>
      <w:hyperlink r:id="rId43">
        <w:proofErr w:type="spellStart"/>
        <w:r>
          <w:rPr>
            <w:color w:val="1C355E"/>
            <w:u w:val="single" w:color="1C355E"/>
          </w:rPr>
          <w:t>Guide</w:t>
        </w:r>
        <w:proofErr w:type="spellEnd"/>
        <w:r>
          <w:rPr>
            <w:color w:val="1C355E"/>
            <w:u w:val="single" w:color="1C355E"/>
          </w:rPr>
          <w:t xml:space="preserve"> </w:t>
        </w:r>
        <w:proofErr w:type="spellStart"/>
        <w:r>
          <w:rPr>
            <w:color w:val="1C355E"/>
            <w:u w:val="single" w:color="1C355E"/>
          </w:rPr>
          <w:t>for</w:t>
        </w:r>
        <w:proofErr w:type="spellEnd"/>
        <w:r>
          <w:rPr>
            <w:color w:val="1C355E"/>
            <w:u w:val="single" w:color="1C355E"/>
          </w:rPr>
          <w:t xml:space="preserve"> </w:t>
        </w:r>
        <w:proofErr w:type="spellStart"/>
        <w:r>
          <w:rPr>
            <w:color w:val="1C355E"/>
            <w:u w:val="single" w:color="1C355E"/>
          </w:rPr>
          <w:t>Adherenc</w:t>
        </w:r>
      </w:hyperlink>
      <w:hyperlink r:id="rId44">
        <w:r>
          <w:rPr>
            <w:color w:val="1C355E"/>
            <w:u w:val="single" w:color="1C355E"/>
          </w:rPr>
          <w:t>e</w:t>
        </w:r>
        <w:proofErr w:type="spellEnd"/>
      </w:hyperlink>
      <w:hyperlink r:id="rId45">
        <w:r>
          <w:rPr>
            <w:color w:val="1C355E"/>
            <w:u w:val="single" w:color="1C355E"/>
          </w:rPr>
          <w:t>.</w:t>
        </w:r>
      </w:hyperlink>
      <w:hyperlink r:id="rId46">
        <w:r>
          <w:t xml:space="preserve"> </w:t>
        </w:r>
      </w:hyperlink>
      <w:r>
        <w:t xml:space="preserve"> </w:t>
      </w:r>
    </w:p>
    <w:p w14:paraId="71699B31" w14:textId="77777777" w:rsidR="00FF56AF" w:rsidRDefault="00F80FF2">
      <w:pPr>
        <w:ind w:left="-15" w:right="0" w:firstLine="0"/>
      </w:pPr>
      <w:r>
        <w:rPr>
          <w:b/>
        </w:rPr>
        <w:t>Zoznam potrebných dokumentov</w:t>
      </w:r>
      <w:r>
        <w:t>, ktoré budú tvoriť prístupovú dokumentáciu žiadateľa, závisí od kategórie, do ktorej sa subjekt zaradí v rám</w:t>
      </w:r>
      <w:r>
        <w:t>ci tejto analýzy.</w:t>
      </w:r>
      <w:r>
        <w:t xml:space="preserve"> </w:t>
      </w:r>
    </w:p>
    <w:p w14:paraId="7B73A92C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1F2DFF49" w14:textId="77777777" w:rsidR="00FF56AF" w:rsidRDefault="00F80FF2">
      <w:pPr>
        <w:ind w:left="-15" w:right="0" w:firstLine="427"/>
      </w:pPr>
      <w:r>
        <w:lastRenderedPageBreak/>
        <w:t xml:space="preserve">Inštitúcie, ktoré sa riadia smernicou 2013/36/EÚ o prístupe k činnosti úverových inštitúcií a </w:t>
      </w:r>
      <w:proofErr w:type="spellStart"/>
      <w:r>
        <w:t>prudenciálnom</w:t>
      </w:r>
      <w:proofErr w:type="spellEnd"/>
      <w:r>
        <w:t xml:space="preserve"> dohľade nad úverovými inštitúciami a investičnými spoločnosťami vyššie spomínané kritériá spôsobilosti automaticky spĺňajú </w:t>
      </w:r>
      <w:r>
        <w:t xml:space="preserve">- </w:t>
      </w:r>
      <w:r>
        <w:t xml:space="preserve">vypĺňajú </w:t>
      </w:r>
      <w:r>
        <w:t xml:space="preserve"> teda </w:t>
      </w:r>
      <w:hyperlink r:id="rId47">
        <w:r>
          <w:rPr>
            <w:color w:val="1C355E"/>
            <w:u w:val="single" w:color="1C355E"/>
          </w:rPr>
          <w:t>zoznam základných dokumentov</w:t>
        </w:r>
      </w:hyperlink>
      <w:hyperlink r:id="rId48">
        <w:r>
          <w:t xml:space="preserve"> </w:t>
        </w:r>
      </w:hyperlink>
      <w:r>
        <w:t xml:space="preserve">:  </w:t>
      </w:r>
    </w:p>
    <w:p w14:paraId="42A76890" w14:textId="77777777" w:rsidR="00FF56AF" w:rsidRDefault="00F80FF2">
      <w:pPr>
        <w:numPr>
          <w:ilvl w:val="0"/>
          <w:numId w:val="3"/>
        </w:numPr>
        <w:spacing w:after="13" w:line="251" w:lineRule="auto"/>
        <w:ind w:right="0" w:hanging="235"/>
        <w:jc w:val="left"/>
      </w:pPr>
      <w:proofErr w:type="spellStart"/>
      <w:r>
        <w:t>Adherence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 </w:t>
      </w:r>
    </w:p>
    <w:p w14:paraId="2B633C5F" w14:textId="77777777" w:rsidR="00FF56AF" w:rsidRDefault="00F80FF2">
      <w:pPr>
        <w:numPr>
          <w:ilvl w:val="0"/>
          <w:numId w:val="3"/>
        </w:numPr>
        <w:spacing w:after="13" w:line="251" w:lineRule="auto"/>
        <w:ind w:right="0" w:hanging="235"/>
        <w:jc w:val="left"/>
      </w:pPr>
      <w:r>
        <w:t xml:space="preserve">Schedule to the </w:t>
      </w:r>
      <w:proofErr w:type="spellStart"/>
      <w:r>
        <w:t>Adherence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 </w:t>
      </w:r>
    </w:p>
    <w:p w14:paraId="190FDD1C" w14:textId="77777777" w:rsidR="00FF56AF" w:rsidRDefault="00F80FF2">
      <w:pPr>
        <w:numPr>
          <w:ilvl w:val="0"/>
          <w:numId w:val="3"/>
        </w:numPr>
        <w:spacing w:after="13" w:line="251" w:lineRule="auto"/>
        <w:ind w:right="0" w:hanging="235"/>
        <w:jc w:val="left"/>
      </w:pPr>
      <w:proofErr w:type="spellStart"/>
      <w:r>
        <w:t>Legal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 </w:t>
      </w:r>
    </w:p>
    <w:p w14:paraId="10A2316C" w14:textId="77777777" w:rsidR="00FF56AF" w:rsidRDefault="00F80FF2">
      <w:pPr>
        <w:numPr>
          <w:ilvl w:val="0"/>
          <w:numId w:val="3"/>
        </w:numPr>
        <w:spacing w:after="13" w:line="251" w:lineRule="auto"/>
        <w:ind w:right="0" w:hanging="235"/>
        <w:jc w:val="left"/>
      </w:pPr>
      <w:r>
        <w:t>SCT Inst Sc</w:t>
      </w:r>
      <w:r>
        <w:t xml:space="preserve">hedule to </w:t>
      </w:r>
      <w:proofErr w:type="spellStart"/>
      <w:r>
        <w:t>Adherence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Excel </w:t>
      </w:r>
      <w:proofErr w:type="spellStart"/>
      <w:r>
        <w:t>version</w:t>
      </w:r>
      <w:proofErr w:type="spellEnd"/>
      <w:r>
        <w:t xml:space="preserve">  </w:t>
      </w:r>
    </w:p>
    <w:p w14:paraId="394EC331" w14:textId="77777777" w:rsidR="00FF56AF" w:rsidRDefault="00F80FF2">
      <w:pPr>
        <w:ind w:left="-15" w:right="0" w:firstLine="0"/>
      </w:pPr>
      <w:r>
        <w:t xml:space="preserve">V prístupovej dokumentácii žiadateľ uvedie plánovaný </w:t>
      </w:r>
      <w:r>
        <w:rPr>
          <w:b/>
        </w:rPr>
        <w:t xml:space="preserve">dátum jeho prevádzkovej pripravenosti </w:t>
      </w:r>
      <w:r>
        <w:t xml:space="preserve">(the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Readiness</w:t>
      </w:r>
      <w:proofErr w:type="spellEnd"/>
      <w:r>
        <w:t xml:space="preserve"> </w:t>
      </w:r>
      <w:proofErr w:type="spellStart"/>
      <w:r>
        <w:t>Date</w:t>
      </w:r>
      <w:proofErr w:type="spellEnd"/>
      <w:r>
        <w:t>) pre poskytovanie SEPA okamžitých platieb. Od tohto dátumu môže PSP začať poskytovať ok</w:t>
      </w:r>
      <w:r>
        <w:t>amžité p</w:t>
      </w:r>
      <w:r>
        <w:t xml:space="preserve">latby svojim klientom.  </w:t>
      </w:r>
    </w:p>
    <w:p w14:paraId="1DA3092B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12A36C59" w14:textId="77777777" w:rsidR="00FF56AF" w:rsidRDefault="00F80FF2">
      <w:pPr>
        <w:ind w:left="-15" w:right="0" w:firstLine="708"/>
      </w:pPr>
      <w:r>
        <w:t xml:space="preserve">PSP spolu s </w:t>
      </w:r>
      <w:r>
        <w:t>prístupovou dokumentáciou do EPC zasiela aj</w:t>
      </w:r>
      <w:r>
        <w:rPr>
          <w:b/>
        </w:rPr>
        <w:t xml:space="preserve"> potvrdenie o pripravenosti k </w:t>
      </w:r>
      <w:proofErr w:type="spellStart"/>
      <w:r>
        <w:rPr>
          <w:b/>
        </w:rPr>
        <w:t>Readiness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</w:t>
      </w:r>
      <w:proofErr w:type="spellEnd"/>
      <w:r>
        <w:rPr>
          <w:b/>
        </w:rPr>
        <w:t xml:space="preserve"> od CSM </w:t>
      </w:r>
      <w:proofErr w:type="spellStart"/>
      <w:r>
        <w:rPr>
          <w:b/>
        </w:rPr>
        <w:t>providera</w:t>
      </w:r>
      <w:proofErr w:type="spellEnd"/>
      <w:r>
        <w:rPr>
          <w:b/>
        </w:rPr>
        <w:t xml:space="preserve">, </w:t>
      </w:r>
      <w:r>
        <w:t xml:space="preserve">tj. prevádzkovateľa platobného systému pre okamžité platby, ktorého bude používať. Pre </w:t>
      </w:r>
      <w:proofErr w:type="spellStart"/>
      <w:r>
        <w:t>PSPs</w:t>
      </w:r>
      <w:proofErr w:type="spellEnd"/>
      <w:r>
        <w:t>, ktorí sa p</w:t>
      </w:r>
      <w:r>
        <w:t>re spracov</w:t>
      </w:r>
      <w:r>
        <w:t xml:space="preserve">anie </w:t>
      </w:r>
      <w:r>
        <w:t xml:space="preserve">okamžitých platieb pripoja do </w:t>
      </w:r>
      <w:r>
        <w:rPr>
          <w:b/>
        </w:rPr>
        <w:t>TIPS</w:t>
      </w:r>
      <w:r>
        <w:t xml:space="preserve">, potvrdenie vystaví </w:t>
      </w:r>
      <w:r>
        <w:rPr>
          <w:b/>
        </w:rPr>
        <w:t>Národná banka Slovenska</w:t>
      </w:r>
      <w:r>
        <w:t xml:space="preserve"> po </w:t>
      </w:r>
      <w:r>
        <w:t xml:space="preserve">úspešnom otestovaní funkcionality pripojenia s PSP. </w:t>
      </w:r>
      <w:r>
        <w:t xml:space="preserve"> </w:t>
      </w:r>
    </w:p>
    <w:p w14:paraId="22804EE0" w14:textId="77777777" w:rsidR="00FF56AF" w:rsidRDefault="00F80FF2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2F5EB839" w14:textId="77777777" w:rsidR="00FF56AF" w:rsidRDefault="00F80FF2">
      <w:pPr>
        <w:ind w:left="-15" w:right="0" w:firstLine="708"/>
      </w:pPr>
      <w:r>
        <w:t xml:space="preserve">Pri časovaní prihlásenia do schémy je potrebné sa riadiť kalendárom, ktorý je publikovaný na </w:t>
      </w:r>
      <w:hyperlink r:id="rId49">
        <w:r>
          <w:rPr>
            <w:color w:val="1C355E"/>
            <w:u w:val="single" w:color="1C355E"/>
          </w:rPr>
          <w:t>stránke EPC</w:t>
        </w:r>
      </w:hyperlink>
      <w:hyperlink r:id="rId50">
        <w:r>
          <w:t>.</w:t>
        </w:r>
      </w:hyperlink>
      <w:r>
        <w:t xml:space="preserve"> </w:t>
      </w:r>
      <w:r>
        <w:t xml:space="preserve">Pre každý prístupový a publikačný cyklus sú stanovené osobitné termíny pre </w:t>
      </w:r>
      <w:r>
        <w:rPr>
          <w:b/>
        </w:rPr>
        <w:t>predloženie prístupovej dokumentácie EPC</w:t>
      </w:r>
      <w:r>
        <w:t xml:space="preserve"> a d</w:t>
      </w:r>
      <w:r>
        <w:t xml:space="preserve">átumy </w:t>
      </w:r>
      <w:r>
        <w:rPr>
          <w:b/>
        </w:rPr>
        <w:t>zaradenia PSP do registra.</w:t>
      </w:r>
      <w:r>
        <w:t xml:space="preserve"> </w:t>
      </w:r>
      <w:r>
        <w:t>Žiadateľ sa do prísl</w:t>
      </w:r>
      <w:r>
        <w:t xml:space="preserve">ušného cyklu zaradí na základe dátumu jeho </w:t>
      </w:r>
      <w:r>
        <w:rPr>
          <w:b/>
        </w:rPr>
        <w:t>prevádzkovej pripravenosti</w:t>
      </w:r>
      <w:r>
        <w:t xml:space="preserve"> </w:t>
      </w:r>
      <w:r>
        <w:t xml:space="preserve">(the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Readiness</w:t>
      </w:r>
      <w:proofErr w:type="spellEnd"/>
      <w:r>
        <w:t xml:space="preserve"> </w:t>
      </w:r>
      <w:proofErr w:type="spellStart"/>
      <w:r>
        <w:t>Date</w:t>
      </w:r>
      <w:proofErr w:type="spellEnd"/>
      <w:r>
        <w:t>) a následne sa riadi konkrétnym termínom predloženia prístupovej dokumentácie do EPC v rámci tohto cy</w:t>
      </w:r>
      <w:r>
        <w:t xml:space="preserve">klu. </w:t>
      </w:r>
      <w:r>
        <w:rPr>
          <w:b/>
        </w:rPr>
        <w:t xml:space="preserve">Keďže proces pristúpenia do schémy vyžaduje čas </w:t>
      </w:r>
      <w:r>
        <w:rPr>
          <w:b/>
        </w:rPr>
        <w:t>na prípravu prístupovej dokumentácie, bolo by vhodné, aby ho PSP riešil súčasne s procesom pripojenia do TIPS.</w:t>
      </w:r>
      <w:r>
        <w:t xml:space="preserve"> </w:t>
      </w:r>
      <w:r>
        <w:t>Po úspešnom otestovaní pripojenia do TIPS a po obdržaní</w:t>
      </w:r>
      <w:r>
        <w:rPr>
          <w:b/>
        </w:rPr>
        <w:t xml:space="preserve"> </w:t>
      </w:r>
      <w:r>
        <w:t xml:space="preserve">potvrdenia o pripravenosti k </w:t>
      </w:r>
      <w:proofErr w:type="spellStart"/>
      <w:r>
        <w:t>Readine</w:t>
      </w:r>
      <w:r>
        <w:t>ss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od CSM </w:t>
      </w:r>
      <w:proofErr w:type="spellStart"/>
      <w:r>
        <w:t>providera</w:t>
      </w:r>
      <w:proofErr w:type="spellEnd"/>
      <w:r>
        <w:t xml:space="preserve"> (NBS), môže PSP doručiť prís</w:t>
      </w:r>
      <w:r>
        <w:t>tupovú dokumentáciu do EPC.</w:t>
      </w:r>
      <w:r>
        <w:t xml:space="preserve"> </w:t>
      </w:r>
    </w:p>
    <w:p w14:paraId="5FCE3C2B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05E7392F" w14:textId="77777777" w:rsidR="00FF56AF" w:rsidRDefault="00F80FF2">
      <w:pPr>
        <w:ind w:left="-15" w:right="0" w:firstLine="708"/>
      </w:pPr>
      <w:r>
        <w:t xml:space="preserve">Prístupovú dokumentáciu zasiela PSP do EPC </w:t>
      </w:r>
      <w:r>
        <w:rPr>
          <w:b/>
        </w:rPr>
        <w:t>priamo</w:t>
      </w:r>
      <w:r>
        <w:t xml:space="preserve"> alebo </w:t>
      </w:r>
      <w:r>
        <w:rPr>
          <w:b/>
        </w:rPr>
        <w:t>prostredníctvom</w:t>
      </w:r>
      <w:r>
        <w:t xml:space="preserve"> </w:t>
      </w:r>
      <w:r>
        <w:t xml:space="preserve">administratívneho kontaktného miesta pre podanie žiadostí na národnej úrovni </w:t>
      </w:r>
      <w:r>
        <w:t xml:space="preserve">- </w:t>
      </w:r>
      <w:r>
        <w:rPr>
          <w:b/>
        </w:rPr>
        <w:t xml:space="preserve">NASO </w:t>
      </w:r>
      <w:r>
        <w:t xml:space="preserve">(National </w:t>
      </w:r>
      <w:proofErr w:type="spellStart"/>
      <w:r>
        <w:t>Adherence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Organisation), ktorou na trhu SR je </w:t>
      </w:r>
      <w:r>
        <w:rPr>
          <w:b/>
        </w:rPr>
        <w:t xml:space="preserve">Slovenská banková Asociácia </w:t>
      </w:r>
      <w:r>
        <w:t>(SBA). V oboch prípadoch sa odporúča zahájiť komunikáciu ohľadom</w:t>
      </w:r>
      <w:r>
        <w:t xml:space="preserve"> </w:t>
      </w:r>
      <w:r>
        <w:t>plánovaného prí</w:t>
      </w:r>
      <w:r>
        <w:t>stupového procesu v</w:t>
      </w:r>
      <w:r>
        <w:t xml:space="preserve"> </w:t>
      </w:r>
      <w:r>
        <w:t xml:space="preserve">dostatočnom časovom predstihu.  </w:t>
      </w:r>
      <w:r>
        <w:t xml:space="preserve"> </w:t>
      </w:r>
      <w:r>
        <w:t xml:space="preserve">NASO (SBA) určuje osobitné termíny pre doručenie prístupovej dokumentácie, ktoré sú </w:t>
      </w:r>
      <w:r>
        <w:t xml:space="preserve">spravidla </w:t>
      </w:r>
      <w:r>
        <w:rPr>
          <w:b/>
        </w:rPr>
        <w:t>3 týždne pred termínom predloženia</w:t>
      </w:r>
      <w:r>
        <w:t xml:space="preserve"> </w:t>
      </w:r>
      <w:r>
        <w:t>prístupovej dokumentácie do EPC v rámci príslušného cyklu v kalendári EPC.</w:t>
      </w:r>
      <w:r>
        <w:t xml:space="preserve"> </w:t>
      </w:r>
      <w:r>
        <w:t xml:space="preserve"> </w:t>
      </w:r>
    </w:p>
    <w:p w14:paraId="12896158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3B683952" w14:textId="77777777" w:rsidR="00FF56AF" w:rsidRDefault="00F80FF2">
      <w:pPr>
        <w:spacing w:after="109"/>
        <w:ind w:left="-15" w:right="0" w:firstLine="708"/>
      </w:pPr>
      <w:r>
        <w:t xml:space="preserve">V </w:t>
      </w:r>
      <w:r>
        <w:t>rámci procesu schvaľovania, EPC  informuje PSP o</w:t>
      </w:r>
      <w:r>
        <w:t xml:space="preserve"> </w:t>
      </w:r>
      <w:r>
        <w:t>úspešnom schválení prístupovej dokumentácie spolu s uvedením</w:t>
      </w:r>
      <w:r>
        <w:rPr>
          <w:b/>
        </w:rPr>
        <w:t xml:space="preserve"> dátumu zaradenia PSP</w:t>
      </w:r>
      <w:r>
        <w:t xml:space="preserve"> do</w:t>
      </w:r>
      <w:r>
        <w:rPr>
          <w:b/>
        </w:rPr>
        <w:t xml:space="preserve"> </w:t>
      </w:r>
      <w:hyperlink r:id="rId51">
        <w:r>
          <w:rPr>
            <w:color w:val="1C355E"/>
            <w:u w:val="single" w:color="1C355E"/>
          </w:rPr>
          <w:t>Registra</w:t>
        </w:r>
      </w:hyperlink>
      <w:hyperlink r:id="rId52">
        <w:r>
          <w:rPr>
            <w:color w:val="1C355E"/>
          </w:rPr>
          <w:t xml:space="preserve"> </w:t>
        </w:r>
      </w:hyperlink>
      <w:hyperlink r:id="rId53">
        <w:r>
          <w:rPr>
            <w:color w:val="1C355E"/>
            <w:u w:val="single" w:color="1C355E"/>
          </w:rPr>
          <w:t>účastníkov SEPA platobných schém</w:t>
        </w:r>
      </w:hyperlink>
      <w:hyperlink r:id="rId54">
        <w:r>
          <w:t xml:space="preserve"> </w:t>
        </w:r>
      </w:hyperlink>
      <w:r>
        <w:t xml:space="preserve">(the Register of </w:t>
      </w:r>
      <w:proofErr w:type="spellStart"/>
      <w:r>
        <w:t>Participants</w:t>
      </w:r>
      <w:proofErr w:type="spellEnd"/>
      <w:r>
        <w:t xml:space="preserve"> of SEPA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schemes</w:t>
      </w:r>
      <w:proofErr w:type="spellEnd"/>
      <w:r>
        <w:t>). Od</w:t>
      </w:r>
      <w:r>
        <w:rPr>
          <w:b/>
        </w:rPr>
        <w:t xml:space="preserve"> </w:t>
      </w:r>
      <w:r>
        <w:t>“</w:t>
      </w:r>
      <w:proofErr w:type="spellStart"/>
      <w:r>
        <w:rPr>
          <w:b/>
        </w:rPr>
        <w:t>Operational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Readiness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</w:t>
      </w:r>
      <w:proofErr w:type="spellEnd"/>
      <w:r>
        <w:rPr>
          <w:b/>
        </w:rPr>
        <w:t>”</w:t>
      </w:r>
      <w:r>
        <w:t xml:space="preserve"> sa </w:t>
      </w:r>
      <w:r>
        <w:rPr>
          <w:b/>
        </w:rPr>
        <w:t>PSP stáva účastníkom schémy</w:t>
      </w:r>
      <w:r>
        <w:t>,</w:t>
      </w:r>
      <w:r>
        <w:t xml:space="preserve"> keďže je dosiahnuteľným pre platby uskutočnené podľa jej pravidiel. </w:t>
      </w:r>
      <w:r>
        <w:t xml:space="preserve"> </w:t>
      </w:r>
    </w:p>
    <w:p w14:paraId="286BDC27" w14:textId="77777777" w:rsidR="00FF56AF" w:rsidRDefault="00F80FF2">
      <w:pPr>
        <w:spacing w:after="0" w:line="259" w:lineRule="auto"/>
        <w:ind w:right="0" w:firstLine="0"/>
        <w:jc w:val="left"/>
      </w:pPr>
      <w:r>
        <w:t xml:space="preserve"> </w:t>
      </w:r>
    </w:p>
    <w:p w14:paraId="4CE98415" w14:textId="77777777" w:rsidR="00FF56AF" w:rsidRDefault="00F80FF2">
      <w:pPr>
        <w:spacing w:after="13" w:line="251" w:lineRule="auto"/>
        <w:ind w:left="41" w:right="0" w:hanging="10"/>
        <w:jc w:val="left"/>
      </w:pPr>
      <w:r>
        <w:t xml:space="preserve">V Bratislave,03. 06. 2022  </w:t>
      </w:r>
    </w:p>
    <w:sectPr w:rsidR="00FF56AF">
      <w:footerReference w:type="even" r:id="rId55"/>
      <w:footerReference w:type="default" r:id="rId56"/>
      <w:footerReference w:type="first" r:id="rId57"/>
      <w:pgSz w:w="11906" w:h="16838"/>
      <w:pgMar w:top="1417" w:right="1413" w:bottom="1476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4F29" w14:textId="77777777" w:rsidR="00F80FF2" w:rsidRDefault="00F80FF2">
      <w:pPr>
        <w:spacing w:after="0" w:line="240" w:lineRule="auto"/>
      </w:pPr>
      <w:r>
        <w:separator/>
      </w:r>
    </w:p>
  </w:endnote>
  <w:endnote w:type="continuationSeparator" w:id="0">
    <w:p w14:paraId="000647DE" w14:textId="77777777" w:rsidR="00F80FF2" w:rsidRDefault="00F8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D8E1" w14:textId="77777777" w:rsidR="00FF56AF" w:rsidRDefault="00F80FF2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BE31F7A" w14:textId="77777777" w:rsidR="00FF56AF" w:rsidRDefault="00F80FF2">
    <w:pPr>
      <w:spacing w:after="0" w:line="259" w:lineRule="auto"/>
      <w:ind w:right="0" w:firstLine="0"/>
      <w:jc w:val="left"/>
    </w:pPr>
    <w:r>
      <w:rPr>
        <w:rFonts w:ascii="Verdana" w:eastAsia="Verdana" w:hAnsi="Verdana" w:cs="Verdana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C066" w14:textId="77777777" w:rsidR="00FF56AF" w:rsidRDefault="00F80FF2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AEDD435" w14:textId="77777777" w:rsidR="00FF56AF" w:rsidRDefault="00F80FF2">
    <w:pPr>
      <w:spacing w:after="0" w:line="259" w:lineRule="auto"/>
      <w:ind w:right="0" w:firstLine="0"/>
      <w:jc w:val="left"/>
    </w:pPr>
    <w:r>
      <w:rPr>
        <w:rFonts w:ascii="Verdana" w:eastAsia="Verdana" w:hAnsi="Verdana" w:cs="Verdana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B11C" w14:textId="77777777" w:rsidR="00FF56AF" w:rsidRDefault="00F80FF2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E672A55" w14:textId="77777777" w:rsidR="00FF56AF" w:rsidRDefault="00F80FF2">
    <w:pPr>
      <w:spacing w:after="0" w:line="259" w:lineRule="auto"/>
      <w:ind w:right="0" w:firstLine="0"/>
      <w:jc w:val="left"/>
    </w:pPr>
    <w:r>
      <w:rPr>
        <w:rFonts w:ascii="Verdana" w:eastAsia="Verdana" w:hAnsi="Verdana" w:cs="Verdana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473B" w14:textId="77777777" w:rsidR="00F80FF2" w:rsidRDefault="00F80FF2">
      <w:pPr>
        <w:spacing w:after="0" w:line="240" w:lineRule="auto"/>
      </w:pPr>
      <w:r>
        <w:separator/>
      </w:r>
    </w:p>
  </w:footnote>
  <w:footnote w:type="continuationSeparator" w:id="0">
    <w:p w14:paraId="20AD0A2E" w14:textId="77777777" w:rsidR="00F80FF2" w:rsidRDefault="00F8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DC"/>
    <w:multiLevelType w:val="hybridMultilevel"/>
    <w:tmpl w:val="7BBC55E8"/>
    <w:lvl w:ilvl="0" w:tplc="3996BB2E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0954E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6540A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C9674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DE14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02402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0FBA0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47226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ECFEC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F2314"/>
    <w:multiLevelType w:val="hybridMultilevel"/>
    <w:tmpl w:val="DC2E4D8E"/>
    <w:lvl w:ilvl="0" w:tplc="CA4C5942">
      <w:start w:val="1"/>
      <w:numFmt w:val="decimal"/>
      <w:pStyle w:val="Heading1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4471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A8054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201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C91CC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4E61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A020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821A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09A9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C3CB2"/>
    <w:multiLevelType w:val="hybridMultilevel"/>
    <w:tmpl w:val="89E47B06"/>
    <w:lvl w:ilvl="0" w:tplc="0CD81E5E">
      <w:start w:val="1"/>
      <w:numFmt w:val="decimal"/>
      <w:lvlText w:val="%1."/>
      <w:lvlJc w:val="left"/>
      <w:pPr>
        <w:ind w:left="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E8E3E">
      <w:start w:val="1"/>
      <w:numFmt w:val="lowerLetter"/>
      <w:lvlText w:val="%2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48DC4">
      <w:start w:val="1"/>
      <w:numFmt w:val="lowerRoman"/>
      <w:lvlText w:val="%3"/>
      <w:lvlJc w:val="left"/>
      <w:pPr>
        <w:ind w:left="18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E898C">
      <w:start w:val="1"/>
      <w:numFmt w:val="decimal"/>
      <w:lvlText w:val="%4"/>
      <w:lvlJc w:val="left"/>
      <w:pPr>
        <w:ind w:left="2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C35DC">
      <w:start w:val="1"/>
      <w:numFmt w:val="lowerLetter"/>
      <w:lvlText w:val="%5"/>
      <w:lvlJc w:val="left"/>
      <w:pPr>
        <w:ind w:left="32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64DBC">
      <w:start w:val="1"/>
      <w:numFmt w:val="lowerRoman"/>
      <w:lvlText w:val="%6"/>
      <w:lvlJc w:val="left"/>
      <w:pPr>
        <w:ind w:left="40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6766A">
      <w:start w:val="1"/>
      <w:numFmt w:val="decimal"/>
      <w:lvlText w:val="%7"/>
      <w:lvlJc w:val="left"/>
      <w:pPr>
        <w:ind w:left="4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83CC">
      <w:start w:val="1"/>
      <w:numFmt w:val="lowerLetter"/>
      <w:lvlText w:val="%8"/>
      <w:lvlJc w:val="left"/>
      <w:pPr>
        <w:ind w:left="5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E1BFC">
      <w:start w:val="1"/>
      <w:numFmt w:val="lowerRoman"/>
      <w:lvlText w:val="%9"/>
      <w:lvlJc w:val="left"/>
      <w:pPr>
        <w:ind w:left="6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281613"/>
    <w:multiLevelType w:val="hybridMultilevel"/>
    <w:tmpl w:val="149620D4"/>
    <w:lvl w:ilvl="0" w:tplc="BCF0E408">
      <w:start w:val="1"/>
      <w:numFmt w:val="bullet"/>
      <w:lvlText w:val="•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B4F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83A6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A001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4E8B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0ABE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42E6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6B47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CFF7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6460935">
    <w:abstractNumId w:val="3"/>
  </w:num>
  <w:num w:numId="2" w16cid:durableId="2034307709">
    <w:abstractNumId w:val="0"/>
  </w:num>
  <w:num w:numId="3" w16cid:durableId="1695616169">
    <w:abstractNumId w:val="2"/>
  </w:num>
  <w:num w:numId="4" w16cid:durableId="13796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AF"/>
    <w:rsid w:val="00F80FF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1043"/>
  <w15:docId w15:val="{36F5EEBC-E598-419C-B9A6-D88A71A5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right="3" w:firstLine="350"/>
      <w:jc w:val="both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11" w:line="249" w:lineRule="auto"/>
      <w:ind w:left="37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bs.sk/sk/platby/spolupraca-s-trhom/nsg-pay-sk" TargetMode="External"/><Relationship Id="rId18" Type="http://schemas.openxmlformats.org/officeDocument/2006/relationships/hyperlink" Target="https://www.europeanpaymentscouncil.eu/what-we-do/sepa-instant-credit-transfer/sepa-instant-credit-transfer-rulebook" TargetMode="External"/><Relationship Id="rId26" Type="http://schemas.openxmlformats.org/officeDocument/2006/relationships/hyperlink" Target="https://www.ecb.europa.eu/paym/groups/ami/shared/pdf/Value_dating_SEPA_Instant_Credit_Transfers_-_non-binding_AMI_-_Pay_market_best_practice.pdf" TargetMode="External"/><Relationship Id="rId39" Type="http://schemas.openxmlformats.org/officeDocument/2006/relationships/hyperlink" Target="https://www.nbs.sk/sk/klientska-zona" TargetMode="External"/><Relationship Id="rId21" Type="http://schemas.openxmlformats.org/officeDocument/2006/relationships/hyperlink" Target="https://www.europeanpaymentscouncil.eu/what-we-do/sepa-instant-credit-transfer/sepa-instant-credit-transfer-rulebook" TargetMode="External"/><Relationship Id="rId34" Type="http://schemas.openxmlformats.org/officeDocument/2006/relationships/hyperlink" Target="https://www.ecb.europa.eu/paym/groups/ami/shared/pdf/Value_dating_SEPA_Instant_Credit_Transfers_-_non-binding_AMI_-_Pay_market_best_practice.pdf" TargetMode="External"/><Relationship Id="rId42" Type="http://schemas.openxmlformats.org/officeDocument/2006/relationships/hyperlink" Target="https://www.europeanpaymentscouncil.eu/what-we-do/be-involved/toolkit-new-scheme-participants/toolkit-new-epc-sepa-payment-scheme" TargetMode="External"/><Relationship Id="rId47" Type="http://schemas.openxmlformats.org/officeDocument/2006/relationships/hyperlink" Target="https://www.europeanpaymentscouncil.eu/document-library/other/sepa-instant-credit-transfer-scheme-adherence-pack" TargetMode="External"/><Relationship Id="rId50" Type="http://schemas.openxmlformats.org/officeDocument/2006/relationships/hyperlink" Target="https://www.europeanpaymentscouncil.eu/document-library/other/2022-calendar-register-participants-publication-dates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nbs.sk/sk/platby/spolupraca-s-trhom/nsg-pay-sk" TargetMode="External"/><Relationship Id="rId29" Type="http://schemas.openxmlformats.org/officeDocument/2006/relationships/hyperlink" Target="https://www.ecb.europa.eu/paym/groups/ami/shared/pdf/Value_dating_SEPA_Instant_Credit_Transfers_-_non-binding_AMI_-_Pay_market_best_practice.pdf" TargetMode="External"/><Relationship Id="rId11" Type="http://schemas.openxmlformats.org/officeDocument/2006/relationships/hyperlink" Target="https://www.nbs.sk/_img/Documents/_PlatobneSystemy/SEPA/Narodny_plan_zavedenia_okamzitych_platieb_v_SR.pdf" TargetMode="External"/><Relationship Id="rId24" Type="http://schemas.openxmlformats.org/officeDocument/2006/relationships/hyperlink" Target="https://www.europeanpaymentscouncil.eu/what-we-do/sepa-instant-credit-transfer/sepa-instant-credit-transfer-rulebook" TargetMode="External"/><Relationship Id="rId32" Type="http://schemas.openxmlformats.org/officeDocument/2006/relationships/hyperlink" Target="https://www.ecb.europa.eu/paym/groups/ami/shared/pdf/Value_dating_SEPA_Instant_Credit_Transfers_-_non-binding_AMI_-_Pay_market_best_practice.pdf" TargetMode="External"/><Relationship Id="rId37" Type="http://schemas.openxmlformats.org/officeDocument/2006/relationships/hyperlink" Target="https://www.nbs.sk/sk/klientska-zona" TargetMode="External"/><Relationship Id="rId40" Type="http://schemas.openxmlformats.org/officeDocument/2006/relationships/hyperlink" Target="https://www.nbs.sk/sk/klientska-zona" TargetMode="External"/><Relationship Id="rId45" Type="http://schemas.openxmlformats.org/officeDocument/2006/relationships/hyperlink" Target="https://www.europeanpaymentscouncil.eu/document-library/other/guide-adherence-sepa-credit-transfer-scheme-sepa-instant-credit-transfer" TargetMode="External"/><Relationship Id="rId53" Type="http://schemas.openxmlformats.org/officeDocument/2006/relationships/hyperlink" Target="https://www.europeanpaymentscouncil.eu/what-we-do/be-involved/register-participants/registers-participants-sepa-payment-schemes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.europeanpaymentscouncil.eu/what-we-do/sepa-instant-credit-transfer/sepa-instant-credit-transfer-rule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bs.sk/_img/Documents/_PlatobneSystemy/SEPA/Narodny_plan_zavedenia_okamzitych_platieb_v_SR.pdf" TargetMode="External"/><Relationship Id="rId14" Type="http://schemas.openxmlformats.org/officeDocument/2006/relationships/hyperlink" Target="https://www.nbs.sk/sk/platby/spolupraca-s-trhom/nsg-pay-sk" TargetMode="External"/><Relationship Id="rId22" Type="http://schemas.openxmlformats.org/officeDocument/2006/relationships/hyperlink" Target="https://www.europeanpaymentscouncil.eu/what-we-do/sepa-instant-credit-transfer/sepa-instant-credit-transfer-rulebook" TargetMode="External"/><Relationship Id="rId27" Type="http://schemas.openxmlformats.org/officeDocument/2006/relationships/hyperlink" Target="https://www.ecb.europa.eu/paym/groups/ami/shared/pdf/Value_dating_SEPA_Instant_Credit_Transfers_-_non-binding_AMI_-_Pay_market_best_practice.pdf" TargetMode="External"/><Relationship Id="rId30" Type="http://schemas.openxmlformats.org/officeDocument/2006/relationships/hyperlink" Target="https://www.ecb.europa.eu/paym/groups/ami/shared/pdf/Value_dating_SEPA_Instant_Credit_Transfers_-_non-binding_AMI_-_Pay_market_best_practice.pdf" TargetMode="External"/><Relationship Id="rId35" Type="http://schemas.openxmlformats.org/officeDocument/2006/relationships/hyperlink" Target="https://www.nbs.sk/sk/klientska-zona" TargetMode="External"/><Relationship Id="rId43" Type="http://schemas.openxmlformats.org/officeDocument/2006/relationships/hyperlink" Target="https://www.europeanpaymentscouncil.eu/document-library/other/guide-adherence-sepa-credit-transfer-scheme-sepa-instant-credit-transfer" TargetMode="External"/><Relationship Id="rId48" Type="http://schemas.openxmlformats.org/officeDocument/2006/relationships/hyperlink" Target="https://www.europeanpaymentscouncil.eu/document-library/other/sepa-instant-credit-transfer-scheme-adherence-pack" TargetMode="External"/><Relationship Id="rId56" Type="http://schemas.openxmlformats.org/officeDocument/2006/relationships/footer" Target="footer2.xml"/><Relationship Id="rId8" Type="http://schemas.openxmlformats.org/officeDocument/2006/relationships/image" Target="media/image2.png"/><Relationship Id="rId51" Type="http://schemas.openxmlformats.org/officeDocument/2006/relationships/hyperlink" Target="https://www.europeanpaymentscouncil.eu/what-we-do/be-involved/register-participants/registers-participants-sepa-payment-schem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bs.sk/_img/Documents/_PlatobneSystemy/SEPA/Narodny_plan_zavedenia_okamzitych_platieb_v_SR.pdf" TargetMode="External"/><Relationship Id="rId17" Type="http://schemas.openxmlformats.org/officeDocument/2006/relationships/hyperlink" Target="https://www.europeanpaymentscouncil.eu/what-we-do/sepa-instant-credit-transfer/sepa-instant-credit-transfer-rulebook" TargetMode="External"/><Relationship Id="rId25" Type="http://schemas.openxmlformats.org/officeDocument/2006/relationships/hyperlink" Target="https://www.europeanpaymentscouncil.eu/what-we-do/sepa-instant-credit-transfer/sepa-instant-credit-transfer-rulebook" TargetMode="External"/><Relationship Id="rId33" Type="http://schemas.openxmlformats.org/officeDocument/2006/relationships/hyperlink" Target="https://www.ecb.europa.eu/paym/groups/ami/shared/pdf/Value_dating_SEPA_Instant_Credit_Transfers_-_non-binding_AMI_-_Pay_market_best_practice.pdf" TargetMode="External"/><Relationship Id="rId38" Type="http://schemas.openxmlformats.org/officeDocument/2006/relationships/hyperlink" Target="https://www.nbs.sk/sk/klientska-zona" TargetMode="External"/><Relationship Id="rId46" Type="http://schemas.openxmlformats.org/officeDocument/2006/relationships/hyperlink" Target="https://www.europeanpaymentscouncil.eu/document-library/other/guide-adherence-sepa-credit-transfer-scheme-sepa-instant-credit-transfer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europeanpaymentscouncil.eu/what-we-do/sepa-instant-credit-transfer/sepa-instant-credit-transfer-rulebook" TargetMode="External"/><Relationship Id="rId41" Type="http://schemas.openxmlformats.org/officeDocument/2006/relationships/hyperlink" Target="https://www.europeanpaymentscouncil.eu/what-we-do/be-involved/register-participants" TargetMode="External"/><Relationship Id="rId54" Type="http://schemas.openxmlformats.org/officeDocument/2006/relationships/hyperlink" Target="https://www.europeanpaymentscouncil.eu/what-we-do/be-involved/register-participants/registers-participants-sepa-payment-schem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bs.sk/sk/platby/spolupraca-s-trhom/nsg-pay-sk" TargetMode="External"/><Relationship Id="rId23" Type="http://schemas.openxmlformats.org/officeDocument/2006/relationships/hyperlink" Target="https://www.europeanpaymentscouncil.eu/what-we-do/sepa-instant-credit-transfer/sepa-instant-credit-transfer-rulebook" TargetMode="External"/><Relationship Id="rId28" Type="http://schemas.openxmlformats.org/officeDocument/2006/relationships/hyperlink" Target="https://www.ecb.europa.eu/paym/groups/ami/shared/pdf/Value_dating_SEPA_Instant_Credit_Transfers_-_non-binding_AMI_-_Pay_market_best_practice.pdf" TargetMode="External"/><Relationship Id="rId36" Type="http://schemas.openxmlformats.org/officeDocument/2006/relationships/hyperlink" Target="https://www.nbs.sk/sk/klientska-zona" TargetMode="External"/><Relationship Id="rId49" Type="http://schemas.openxmlformats.org/officeDocument/2006/relationships/hyperlink" Target="https://www.europeanpaymentscouncil.eu/document-library/other/2022-calendar-register-participants-publication-dates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www.nbs.sk/_img/Documents/_PlatobneSystemy/SEPA/Narodny_plan_zavedenia_okamzitych_platieb_v_SR.pdf" TargetMode="External"/><Relationship Id="rId31" Type="http://schemas.openxmlformats.org/officeDocument/2006/relationships/hyperlink" Target="https://www.ecb.europa.eu/paym/groups/ami/shared/pdf/Value_dating_SEPA_Instant_Credit_Transfers_-_non-binding_AMI_-_Pay_market_best_practice.pdf" TargetMode="External"/><Relationship Id="rId44" Type="http://schemas.openxmlformats.org/officeDocument/2006/relationships/hyperlink" Target="https://www.europeanpaymentscouncil.eu/document-library/other/guide-adherence-sepa-credit-transfer-scheme-sepa-instant-credit-transfer" TargetMode="External"/><Relationship Id="rId52" Type="http://schemas.openxmlformats.org/officeDocument/2006/relationships/hyperlink" Target="https://www.europeanpaymentscouncil.eu/what-we-do/be-involved/register-participants/registers-participants-sepa-payment-sche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3264</Words>
  <Characters>18607</Characters>
  <Application>Microsoft Office Word</Application>
  <DocSecurity>0</DocSecurity>
  <Lines>155</Lines>
  <Paragraphs>43</Paragraphs>
  <ScaleCrop>false</ScaleCrop>
  <Company/>
  <LinksUpToDate>false</LinksUpToDate>
  <CharactersWithSpaces>21828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Behúňová Iveta</dc:creator>
  <cp:keywords/>
  <cp:lastModifiedBy>Behúňová Iveta</cp:lastModifiedBy>
  <cp:revision>2</cp:revision>
  <dcterms:created xsi:type="dcterms:W3CDTF">2024-06-21T11:06:00Z</dcterms:created>
  <dcterms:modified xsi:type="dcterms:W3CDTF">2024-06-21T11:06:00Z</dcterms:modified>
</cp:coreProperties>
</file>