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D2F8" w14:textId="4389244A" w:rsidR="00287F12" w:rsidRDefault="00287F12" w:rsidP="00287F12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12/2023</w:t>
      </w:r>
    </w:p>
    <w:p w14:paraId="538CF7B0" w14:textId="77777777" w:rsidR="00287F12" w:rsidRDefault="00287F12" w:rsidP="00287F12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Hlk131499571"/>
      <w:r>
        <w:rPr>
          <w:rFonts w:ascii="Verdana" w:hAnsi="Verdana"/>
          <w:b/>
          <w:bCs/>
          <w:sz w:val="20"/>
          <w:szCs w:val="20"/>
        </w:rPr>
        <w:t>OPATRENIE</w:t>
      </w:r>
    </w:p>
    <w:p w14:paraId="6207045C" w14:textId="77777777" w:rsidR="00287F12" w:rsidRDefault="00287F12" w:rsidP="00287F12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Národnej banky Slovenska</w:t>
      </w:r>
    </w:p>
    <w:p w14:paraId="423F2D11" w14:textId="77777777" w:rsidR="00287F12" w:rsidRDefault="00287F12" w:rsidP="00287F12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 5. decembra 2023,</w:t>
      </w:r>
    </w:p>
    <w:p w14:paraId="3190671B" w14:textId="77777777" w:rsidR="00287F12" w:rsidRDefault="00287F12" w:rsidP="00287F12">
      <w:pPr>
        <w:jc w:val="center"/>
        <w:rPr>
          <w:rFonts w:ascii="Verdana" w:hAnsi="Verdana"/>
          <w:b/>
          <w:bCs/>
          <w:sz w:val="20"/>
          <w:szCs w:val="20"/>
        </w:rPr>
      </w:pPr>
      <w:bookmarkStart w:id="1" w:name="_Hlk10536589"/>
      <w:r>
        <w:rPr>
          <w:rFonts w:ascii="Verdana" w:hAnsi="Verdana"/>
          <w:b/>
          <w:bCs/>
          <w:sz w:val="20"/>
          <w:szCs w:val="20"/>
        </w:rPr>
        <w:t xml:space="preserve">ktorým sa mení a dopĺňa opatrenie Národnej banky Slovenska </w:t>
      </w:r>
    </w:p>
    <w:p w14:paraId="7191A5A9" w14:textId="253EA1A3" w:rsidR="00287F12" w:rsidRDefault="00287F12" w:rsidP="00287F12">
      <w:pPr>
        <w:jc w:val="center"/>
        <w:rPr>
          <w:b/>
          <w:bCs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z 21. júna 2021 č. 8/2021 o predkladaní výkazov bankami, pobočkami zahraničných bánk, obchodníkmi s cennými papiermi alebo pobočkami </w:t>
      </w:r>
      <w:r w:rsidR="001B43A6">
        <w:rPr>
          <w:rFonts w:ascii="Verdana" w:hAnsi="Verdana"/>
          <w:b/>
          <w:bCs/>
          <w:sz w:val="20"/>
          <w:szCs w:val="20"/>
        </w:rPr>
        <w:t xml:space="preserve">č. </w:t>
      </w:r>
      <w:r>
        <w:rPr>
          <w:rFonts w:ascii="Verdana" w:hAnsi="Verdana"/>
          <w:b/>
          <w:bCs/>
          <w:sz w:val="20"/>
          <w:szCs w:val="20"/>
        </w:rPr>
        <w:t>zahraničných obchodníkov s cennými papiermi na štatistické účely</w:t>
      </w:r>
    </w:p>
    <w:bookmarkEnd w:id="0"/>
    <w:bookmarkEnd w:id="1"/>
    <w:p w14:paraId="7B8D32E9" w14:textId="77777777" w:rsidR="00287F12" w:rsidRDefault="00287F12" w:rsidP="00287F12">
      <w:pPr>
        <w:jc w:val="center"/>
        <w:rPr>
          <w:rFonts w:ascii="Cambria" w:hAnsi="Cambria"/>
          <w:b/>
          <w:bCs/>
          <w:szCs w:val="20"/>
        </w:rPr>
      </w:pPr>
    </w:p>
    <w:p w14:paraId="72E711D9" w14:textId="77777777" w:rsidR="00287F12" w:rsidRDefault="00287F12" w:rsidP="00287F12">
      <w:pPr>
        <w:pStyle w:val="Footer"/>
        <w:jc w:val="both"/>
        <w:rPr>
          <w:rFonts w:ascii="Cambria" w:hAnsi="Cambria"/>
          <w:sz w:val="22"/>
          <w:szCs w:val="22"/>
        </w:rPr>
      </w:pPr>
    </w:p>
    <w:p w14:paraId="25A49FC1" w14:textId="142AB8F1" w:rsidR="00287F12" w:rsidRPr="00287F12" w:rsidRDefault="00287F12" w:rsidP="00287F12">
      <w:pPr>
        <w:autoSpaceDE w:val="0"/>
        <w:autoSpaceDN w:val="0"/>
        <w:adjustRightInd w:val="0"/>
        <w:ind w:firstLine="708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Národná banka Slovenska podľa § 42 ods. 2 zákona č. 483/2001 Z. z. o bankách a o</w:t>
      </w:r>
      <w:r w:rsidR="002021B5">
        <w:rPr>
          <w:rFonts w:ascii="Cambria" w:hAnsi="Cambria"/>
          <w:color w:val="000000" w:themeColor="text1"/>
          <w:sz w:val="22"/>
          <w:szCs w:val="22"/>
        </w:rPr>
        <w:t> </w:t>
      </w:r>
      <w:r w:rsidRPr="00287F12">
        <w:rPr>
          <w:rFonts w:ascii="Cambria" w:hAnsi="Cambria"/>
          <w:color w:val="000000" w:themeColor="text1"/>
          <w:sz w:val="22"/>
          <w:szCs w:val="22"/>
        </w:rPr>
        <w:t>zmene</w:t>
      </w:r>
      <w:r w:rsidR="002021B5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287F12">
        <w:rPr>
          <w:rFonts w:ascii="Cambria" w:hAnsi="Cambria"/>
          <w:color w:val="000000" w:themeColor="text1"/>
          <w:sz w:val="22"/>
          <w:szCs w:val="22"/>
        </w:rPr>
        <w:t>a</w:t>
      </w:r>
      <w:r w:rsidR="002021B5">
        <w:rPr>
          <w:rFonts w:ascii="Cambria" w:hAnsi="Cambria"/>
          <w:color w:val="000000" w:themeColor="text1"/>
          <w:sz w:val="22"/>
          <w:szCs w:val="22"/>
        </w:rPr>
        <w:t> </w:t>
      </w:r>
      <w:r w:rsidRPr="00287F12">
        <w:rPr>
          <w:rFonts w:ascii="Cambria" w:hAnsi="Cambria"/>
          <w:color w:val="000000" w:themeColor="text1"/>
          <w:sz w:val="22"/>
          <w:szCs w:val="22"/>
        </w:rPr>
        <w:t>doplnení niektorých zákonov v znení neskorších predpisov a podľa § 35 ods. 2 zákona č. 747/2004 Z. z. o dohľade nad finančným trhom a o zmene a doplnení niektorých zákonov v znení neskorších predpisov ustanovuje:</w:t>
      </w:r>
    </w:p>
    <w:p w14:paraId="37917493" w14:textId="77777777" w:rsidR="00287F12" w:rsidRPr="00287F12" w:rsidRDefault="00287F12" w:rsidP="00287F12">
      <w:pPr>
        <w:autoSpaceDE w:val="0"/>
        <w:autoSpaceDN w:val="0"/>
        <w:adjustRightInd w:val="0"/>
        <w:ind w:firstLine="708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231ED7D" w14:textId="77777777" w:rsidR="00287F12" w:rsidRPr="00287F12" w:rsidRDefault="00287F12" w:rsidP="00287F12">
      <w:pPr>
        <w:pStyle w:val="Footer"/>
        <w:jc w:val="center"/>
        <w:rPr>
          <w:rFonts w:ascii="Cambria" w:eastAsiaTheme="minorHAnsi" w:hAnsi="Cambria"/>
          <w:b/>
          <w:bCs/>
          <w:sz w:val="22"/>
          <w:szCs w:val="22"/>
        </w:rPr>
      </w:pPr>
      <w:r w:rsidRPr="00287F12">
        <w:rPr>
          <w:rFonts w:ascii="Cambria" w:eastAsiaTheme="minorHAnsi" w:hAnsi="Cambria"/>
          <w:b/>
          <w:bCs/>
          <w:sz w:val="22"/>
          <w:szCs w:val="22"/>
        </w:rPr>
        <w:t>Čl. I</w:t>
      </w:r>
    </w:p>
    <w:p w14:paraId="3070B631" w14:textId="77777777" w:rsidR="00287F12" w:rsidRPr="00287F12" w:rsidRDefault="00287F12" w:rsidP="00287F12">
      <w:pPr>
        <w:autoSpaceDE w:val="0"/>
        <w:autoSpaceDN w:val="0"/>
        <w:adjustRightInd w:val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F0A5136" w14:textId="69ECAA3E" w:rsidR="00287F12" w:rsidRPr="00287F12" w:rsidRDefault="00287F12" w:rsidP="00287F12">
      <w:pPr>
        <w:autoSpaceDE w:val="0"/>
        <w:autoSpaceDN w:val="0"/>
        <w:adjustRightInd w:val="0"/>
        <w:ind w:firstLine="708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Opatrenie Národnej banky Slovenska z 21. júna 2021 č. 8/2021 o predkladaní výkazov bankami, pobočkami zahraničných bánk, obchodníkmi s cennými papiermi alebo pobočkami zahraničných obchodníkov s cennými papiermi na štatistické účely (oznámenie č. 277/2021 Z. z.) sa</w:t>
      </w:r>
      <w:r w:rsidR="002021B5">
        <w:rPr>
          <w:rFonts w:ascii="Cambria" w:hAnsi="Cambria"/>
          <w:color w:val="000000" w:themeColor="text1"/>
          <w:sz w:val="22"/>
          <w:szCs w:val="22"/>
        </w:rPr>
        <w:t> </w:t>
      </w:r>
      <w:r w:rsidRPr="00287F12">
        <w:rPr>
          <w:rFonts w:ascii="Cambria" w:hAnsi="Cambria"/>
          <w:color w:val="000000" w:themeColor="text1"/>
          <w:sz w:val="22"/>
          <w:szCs w:val="22"/>
        </w:rPr>
        <w:t>mení a dopĺňa takto:</w:t>
      </w:r>
    </w:p>
    <w:p w14:paraId="79DA7588" w14:textId="77777777" w:rsidR="00287F12" w:rsidRPr="00287F12" w:rsidRDefault="00287F12" w:rsidP="00287F12">
      <w:pPr>
        <w:autoSpaceDE w:val="0"/>
        <w:autoSpaceDN w:val="0"/>
        <w:adjustRightInd w:val="0"/>
        <w:ind w:firstLine="708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CDBD86B" w14:textId="3C01BC59" w:rsidR="00287F12" w:rsidRDefault="00287F12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bookmarkStart w:id="2" w:name="OLE_LINK1"/>
      <w:bookmarkStart w:id="3" w:name="OLE_LINK2"/>
      <w:r w:rsidRPr="00287F12">
        <w:rPr>
          <w:rFonts w:ascii="Cambria" w:hAnsi="Cambria"/>
          <w:color w:val="000000" w:themeColor="text1"/>
          <w:sz w:val="22"/>
          <w:szCs w:val="22"/>
        </w:rPr>
        <w:t>V § 1 odsek 1 znie:</w:t>
      </w:r>
    </w:p>
    <w:p w14:paraId="29A37D85" w14:textId="77777777" w:rsidR="002021B5" w:rsidRPr="00287F12" w:rsidRDefault="002021B5" w:rsidP="002021B5">
      <w:pPr>
        <w:pStyle w:val="ListParagraph"/>
        <w:autoSpaceDE w:val="0"/>
        <w:autoSpaceDN w:val="0"/>
        <w:adjustRightInd w:val="0"/>
        <w:ind w:left="567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90A5E02" w14:textId="27413347" w:rsidR="00287F12" w:rsidRDefault="00287F12" w:rsidP="002021B5">
      <w:pPr>
        <w:tabs>
          <w:tab w:val="left" w:pos="1701"/>
        </w:tabs>
        <w:ind w:left="426" w:firstLine="567"/>
        <w:jc w:val="both"/>
        <w:rPr>
          <w:rFonts w:ascii="Cambria" w:hAnsi="Cambria" w:cstheme="minorHAnsi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„(1)</w:t>
      </w:r>
      <w:r w:rsidR="002021B5">
        <w:rPr>
          <w:rFonts w:ascii="Cambria" w:hAnsi="Cambria"/>
          <w:color w:val="000000" w:themeColor="text1"/>
          <w:sz w:val="22"/>
          <w:szCs w:val="22"/>
        </w:rPr>
        <w:tab/>
      </w:r>
      <w:r w:rsidRPr="00287F12">
        <w:rPr>
          <w:rFonts w:ascii="Cambria" w:hAnsi="Cambria" w:cstheme="minorHAnsi"/>
          <w:sz w:val="22"/>
          <w:szCs w:val="22"/>
        </w:rPr>
        <w:t>Výkazy predkladané bankami alebo pobočkami zahraničných bánk sú tieto:</w:t>
      </w:r>
    </w:p>
    <w:p w14:paraId="0E9B9E36" w14:textId="77777777" w:rsidR="002021B5" w:rsidRPr="00287F12" w:rsidRDefault="002021B5" w:rsidP="00287F12">
      <w:pPr>
        <w:ind w:left="426" w:firstLine="141"/>
        <w:jc w:val="both"/>
        <w:rPr>
          <w:rFonts w:ascii="Cambria" w:hAnsi="Cambria" w:cstheme="minorHAnsi"/>
          <w:sz w:val="22"/>
          <w:szCs w:val="22"/>
        </w:rPr>
      </w:pPr>
    </w:p>
    <w:tbl>
      <w:tblPr>
        <w:tblW w:w="9789" w:type="dxa"/>
        <w:tblLook w:val="04A0" w:firstRow="1" w:lastRow="0" w:firstColumn="1" w:lastColumn="0" w:noHBand="0" w:noVBand="1"/>
      </w:tblPr>
      <w:tblGrid>
        <w:gridCol w:w="2508"/>
        <w:gridCol w:w="7281"/>
      </w:tblGrid>
      <w:tr w:rsidR="00287F12" w:rsidRPr="00287F12" w14:paraId="175EFA14" w14:textId="77777777" w:rsidTr="00287F12">
        <w:trPr>
          <w:trHeight w:val="128"/>
        </w:trPr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C5441A" w14:textId="77777777" w:rsidR="00287F12" w:rsidRPr="00287F12" w:rsidRDefault="00287F12" w:rsidP="00287F12">
            <w:pPr>
              <w:autoSpaceDE w:val="0"/>
              <w:autoSpaceDN w:val="0"/>
              <w:adjustRightInd w:val="0"/>
              <w:ind w:left="34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Označenie výkazu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256F6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Názov výkazu</w:t>
            </w:r>
          </w:p>
        </w:tc>
      </w:tr>
      <w:tr w:rsidR="00287F12" w:rsidRPr="00287F12" w14:paraId="67A8CAD0" w14:textId="77777777" w:rsidTr="00287F12">
        <w:trPr>
          <w:trHeight w:val="236"/>
        </w:trPr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AC9B85" w14:textId="77777777" w:rsidR="00287F12" w:rsidRPr="00287F12" w:rsidRDefault="00287F1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Cp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01-12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D71761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Mesačný výkaz o cenných papieroch,</w:t>
            </w:r>
          </w:p>
        </w:tc>
      </w:tr>
      <w:tr w:rsidR="00287F12" w:rsidRPr="00287F12" w14:paraId="7C21D475" w14:textId="77777777" w:rsidTr="00287F12">
        <w:trPr>
          <w:trHeight w:val="128"/>
        </w:trPr>
        <w:tc>
          <w:tcPr>
            <w:tcW w:w="2508" w:type="dxa"/>
            <w:hideMark/>
          </w:tcPr>
          <w:p w14:paraId="517980F4" w14:textId="77777777" w:rsidR="00287F12" w:rsidRPr="00287F12" w:rsidRDefault="00287F1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00-12</w:t>
            </w:r>
          </w:p>
        </w:tc>
        <w:tc>
          <w:tcPr>
            <w:tcW w:w="7281" w:type="dxa"/>
            <w:hideMark/>
          </w:tcPr>
          <w:p w14:paraId="3D54DFFD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Mesačná štatistická bilancia – vybrané položky,</w:t>
            </w:r>
          </w:p>
        </w:tc>
      </w:tr>
      <w:tr w:rsidR="00287F12" w:rsidRPr="00287F12" w14:paraId="51EC5254" w14:textId="77777777" w:rsidTr="00287F12">
        <w:trPr>
          <w:trHeight w:val="128"/>
        </w:trPr>
        <w:tc>
          <w:tcPr>
            <w:tcW w:w="2508" w:type="dxa"/>
            <w:hideMark/>
          </w:tcPr>
          <w:p w14:paraId="38E08DC2" w14:textId="77777777" w:rsidR="00287F12" w:rsidRPr="00287F12" w:rsidRDefault="00287F1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02-12</w:t>
            </w:r>
          </w:p>
        </w:tc>
        <w:tc>
          <w:tcPr>
            <w:tcW w:w="7281" w:type="dxa"/>
            <w:hideMark/>
          </w:tcPr>
          <w:p w14:paraId="19AB0BB1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Mesačný výkaz o úveroch,</w:t>
            </w:r>
          </w:p>
        </w:tc>
      </w:tr>
      <w:tr w:rsidR="00287F12" w:rsidRPr="00287F12" w14:paraId="00D1A4C9" w14:textId="77777777" w:rsidTr="00287F12">
        <w:trPr>
          <w:trHeight w:val="128"/>
        </w:trPr>
        <w:tc>
          <w:tcPr>
            <w:tcW w:w="2508" w:type="dxa"/>
            <w:hideMark/>
          </w:tcPr>
          <w:p w14:paraId="721F2FDD" w14:textId="77777777" w:rsidR="00287F12" w:rsidRPr="00287F12" w:rsidRDefault="00287F1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03-12</w:t>
            </w:r>
          </w:p>
        </w:tc>
        <w:tc>
          <w:tcPr>
            <w:tcW w:w="7281" w:type="dxa"/>
            <w:hideMark/>
          </w:tcPr>
          <w:p w14:paraId="317C18D6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Mesačný výkaz o vkladoch a prijatých úveroch,</w:t>
            </w:r>
          </w:p>
        </w:tc>
      </w:tr>
      <w:tr w:rsidR="00287F12" w:rsidRPr="00287F12" w14:paraId="26A5E441" w14:textId="77777777" w:rsidTr="00287F12">
        <w:trPr>
          <w:trHeight w:val="128"/>
        </w:trPr>
        <w:tc>
          <w:tcPr>
            <w:tcW w:w="2508" w:type="dxa"/>
            <w:hideMark/>
          </w:tcPr>
          <w:p w14:paraId="05AB5ABC" w14:textId="77777777" w:rsidR="00287F12" w:rsidRPr="00287F12" w:rsidRDefault="00287F1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04-12</w:t>
            </w:r>
          </w:p>
        </w:tc>
        <w:tc>
          <w:tcPr>
            <w:tcW w:w="7281" w:type="dxa"/>
            <w:hideMark/>
          </w:tcPr>
          <w:p w14:paraId="19C49C1E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Mesačný výkaz o finančných derivátoch,</w:t>
            </w:r>
          </w:p>
        </w:tc>
      </w:tr>
      <w:tr w:rsidR="00287F12" w:rsidRPr="00287F12" w14:paraId="57DC84F7" w14:textId="77777777" w:rsidTr="00287F12">
        <w:trPr>
          <w:trHeight w:val="128"/>
        </w:trPr>
        <w:tc>
          <w:tcPr>
            <w:tcW w:w="2508" w:type="dxa"/>
            <w:hideMark/>
          </w:tcPr>
          <w:p w14:paraId="45325268" w14:textId="77777777" w:rsidR="00287F12" w:rsidRPr="00287F12" w:rsidRDefault="00287F1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05-12</w:t>
            </w:r>
          </w:p>
        </w:tc>
        <w:tc>
          <w:tcPr>
            <w:tcW w:w="7281" w:type="dxa"/>
            <w:hideMark/>
          </w:tcPr>
          <w:p w14:paraId="3690460F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Mesačný výkaz o ostatných aktívach a pasívach,</w:t>
            </w:r>
          </w:p>
        </w:tc>
      </w:tr>
      <w:tr w:rsidR="00287F12" w:rsidRPr="00287F12" w14:paraId="21C9726A" w14:textId="77777777" w:rsidTr="00287F12">
        <w:trPr>
          <w:trHeight w:val="128"/>
        </w:trPr>
        <w:tc>
          <w:tcPr>
            <w:tcW w:w="2508" w:type="dxa"/>
            <w:hideMark/>
          </w:tcPr>
          <w:p w14:paraId="41E5D790" w14:textId="77777777" w:rsidR="00287F12" w:rsidRPr="00287F12" w:rsidRDefault="00287F1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06-12</w:t>
            </w:r>
          </w:p>
          <w:p w14:paraId="298B955E" w14:textId="77777777" w:rsidR="00287F12" w:rsidRPr="00287F12" w:rsidRDefault="00287F1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07-12 </w:t>
            </w:r>
          </w:p>
        </w:tc>
        <w:tc>
          <w:tcPr>
            <w:tcW w:w="7281" w:type="dxa"/>
            <w:hideMark/>
          </w:tcPr>
          <w:p w14:paraId="6AEDF9C2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Mesačný výkaz o podsúvahových položkách,</w:t>
            </w:r>
          </w:p>
          <w:p w14:paraId="469373AC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Mesačný výkaz o inkasách a platbách,</w:t>
            </w:r>
          </w:p>
        </w:tc>
      </w:tr>
      <w:tr w:rsidR="00287F12" w:rsidRPr="00287F12" w14:paraId="4D5C763B" w14:textId="77777777" w:rsidTr="00287F12">
        <w:trPr>
          <w:trHeight w:val="128"/>
        </w:trPr>
        <w:tc>
          <w:tcPr>
            <w:tcW w:w="2508" w:type="dxa"/>
            <w:hideMark/>
          </w:tcPr>
          <w:p w14:paraId="483719AF" w14:textId="35182CF8" w:rsidR="00287F12" w:rsidRPr="00287F12" w:rsidRDefault="00287F12" w:rsidP="002021B5">
            <w:p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i)</w:t>
            </w:r>
            <w:r w:rsidR="002021B5">
              <w:rPr>
                <w:rFonts w:ascii="Cambria" w:hAnsi="Cambria" w:cstheme="minorHAnsi"/>
                <w:sz w:val="22"/>
                <w:szCs w:val="22"/>
              </w:rPr>
              <w:t xml:space="preserve">    </w:t>
            </w:r>
            <w:r w:rsidRPr="00287F12">
              <w:rPr>
                <w:rFonts w:ascii="Cambria" w:hAnsi="Cambria" w:cstheme="minorHAnsi"/>
                <w:sz w:val="22"/>
                <w:szCs w:val="22"/>
              </w:rPr>
              <w:t>V (NBS) 12-12</w:t>
            </w:r>
          </w:p>
        </w:tc>
        <w:tc>
          <w:tcPr>
            <w:tcW w:w="7281" w:type="dxa"/>
            <w:hideMark/>
          </w:tcPr>
          <w:p w14:paraId="04E12BDD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Mesačný výkaz o úverových a vkladových medzibankových obchodoch,</w:t>
            </w:r>
          </w:p>
        </w:tc>
      </w:tr>
      <w:tr w:rsidR="00287F12" w:rsidRPr="00287F12" w14:paraId="168FA65D" w14:textId="77777777" w:rsidTr="00287F12">
        <w:trPr>
          <w:trHeight w:val="128"/>
        </w:trPr>
        <w:tc>
          <w:tcPr>
            <w:tcW w:w="2508" w:type="dxa"/>
            <w:hideMark/>
          </w:tcPr>
          <w:p w14:paraId="6F309111" w14:textId="6DE8B44B" w:rsidR="00287F12" w:rsidRPr="00287F12" w:rsidRDefault="00287F12" w:rsidP="002021B5">
            <w:p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j)  </w:t>
            </w:r>
            <w:r w:rsidR="002021B5">
              <w:rPr>
                <w:rFonts w:ascii="Cambria" w:hAnsi="Cambria" w:cstheme="minorHAnsi"/>
                <w:sz w:val="22"/>
                <w:szCs w:val="22"/>
              </w:rPr>
              <w:t xml:space="preserve">  </w:t>
            </w:r>
            <w:r w:rsidRPr="00287F12">
              <w:rPr>
                <w:rFonts w:ascii="Cambria" w:hAnsi="Cambria" w:cstheme="minorHAnsi"/>
                <w:sz w:val="22"/>
                <w:szCs w:val="22"/>
              </w:rPr>
              <w:t>V (NBS) 13-04</w:t>
            </w:r>
          </w:p>
        </w:tc>
        <w:tc>
          <w:tcPr>
            <w:tcW w:w="7281" w:type="dxa"/>
            <w:hideMark/>
          </w:tcPr>
          <w:p w14:paraId="353A3F00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Štvrťročný výkaz o úrokových nákladoch a výnosoch,</w:t>
            </w:r>
          </w:p>
        </w:tc>
      </w:tr>
      <w:tr w:rsidR="00287F12" w:rsidRPr="00287F12" w14:paraId="6E4AE6F8" w14:textId="77777777" w:rsidTr="00287F12">
        <w:trPr>
          <w:trHeight w:val="128"/>
        </w:trPr>
        <w:tc>
          <w:tcPr>
            <w:tcW w:w="2508" w:type="dxa"/>
            <w:hideMark/>
          </w:tcPr>
          <w:p w14:paraId="1FEDFC94" w14:textId="0D7E1016" w:rsidR="00287F12" w:rsidRPr="00287F12" w:rsidRDefault="00287F12" w:rsidP="002021B5">
            <w:p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k) </w:t>
            </w:r>
            <w:r w:rsidR="002021B5">
              <w:rPr>
                <w:rFonts w:ascii="Cambria" w:hAnsi="Cambria" w:cstheme="minorHAnsi"/>
                <w:sz w:val="22"/>
                <w:szCs w:val="22"/>
              </w:rPr>
              <w:t xml:space="preserve">  </w:t>
            </w:r>
            <w:r w:rsidRPr="00287F12">
              <w:rPr>
                <w:rFonts w:ascii="Cambria" w:hAnsi="Cambria" w:cstheme="minorHAnsi"/>
                <w:sz w:val="22"/>
                <w:szCs w:val="22"/>
              </w:rPr>
              <w:t>V (NBS) 14-98</w:t>
            </w:r>
          </w:p>
        </w:tc>
        <w:tc>
          <w:tcPr>
            <w:tcW w:w="7281" w:type="dxa"/>
            <w:hideMark/>
          </w:tcPr>
          <w:p w14:paraId="07FF757D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Denný výkaz obratov na medzibankovom trhu v eurách,</w:t>
            </w:r>
          </w:p>
        </w:tc>
      </w:tr>
      <w:tr w:rsidR="00287F12" w:rsidRPr="00287F12" w14:paraId="5CAFDAC6" w14:textId="77777777" w:rsidTr="00287F12">
        <w:trPr>
          <w:trHeight w:val="128"/>
        </w:trPr>
        <w:tc>
          <w:tcPr>
            <w:tcW w:w="2508" w:type="dxa"/>
            <w:hideMark/>
          </w:tcPr>
          <w:p w14:paraId="4A8B9887" w14:textId="4EB718DB" w:rsidR="00287F12" w:rsidRPr="00287F12" w:rsidRDefault="00287F12" w:rsidP="002021B5">
            <w:p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l)  </w:t>
            </w:r>
            <w:r w:rsidR="002021B5">
              <w:rPr>
                <w:rFonts w:ascii="Cambria" w:hAnsi="Cambria" w:cstheme="minorHAnsi"/>
                <w:sz w:val="22"/>
                <w:szCs w:val="22"/>
              </w:rPr>
              <w:t xml:space="preserve">  </w:t>
            </w:r>
            <w:r w:rsidRPr="00287F12">
              <w:rPr>
                <w:rFonts w:ascii="Cambria" w:hAnsi="Cambria" w:cstheme="minorHAnsi"/>
                <w:sz w:val="22"/>
                <w:szCs w:val="22"/>
              </w:rPr>
              <w:t>V (NBS) 34-04</w:t>
            </w:r>
          </w:p>
        </w:tc>
        <w:tc>
          <w:tcPr>
            <w:tcW w:w="7281" w:type="dxa"/>
            <w:hideMark/>
          </w:tcPr>
          <w:p w14:paraId="68674430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Štvrťročný výkaz o charakteristikách úverov poskytnutých obyvateľstvu,</w:t>
            </w:r>
          </w:p>
        </w:tc>
      </w:tr>
      <w:tr w:rsidR="00287F12" w:rsidRPr="00287F12" w14:paraId="28F76A67" w14:textId="77777777" w:rsidTr="00287F12">
        <w:trPr>
          <w:trHeight w:val="128"/>
        </w:trPr>
        <w:tc>
          <w:tcPr>
            <w:tcW w:w="2508" w:type="dxa"/>
            <w:hideMark/>
          </w:tcPr>
          <w:p w14:paraId="6168C900" w14:textId="2D78D015" w:rsidR="00287F12" w:rsidRPr="00287F12" w:rsidRDefault="00287F12" w:rsidP="002021B5">
            <w:p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m)</w:t>
            </w:r>
            <w:r w:rsidR="002021B5">
              <w:rPr>
                <w:rFonts w:ascii="Cambria" w:hAnsi="Cambria" w:cstheme="minorHAnsi"/>
                <w:sz w:val="22"/>
                <w:szCs w:val="22"/>
              </w:rPr>
              <w:t xml:space="preserve">  </w:t>
            </w:r>
            <w:r w:rsidRPr="00287F12">
              <w:rPr>
                <w:rFonts w:ascii="Cambria" w:hAnsi="Cambria" w:cstheme="minorHAnsi"/>
                <w:sz w:val="22"/>
                <w:szCs w:val="22"/>
              </w:rPr>
              <w:t>Pb (NBS) 4-01</w:t>
            </w:r>
          </w:p>
        </w:tc>
        <w:tc>
          <w:tcPr>
            <w:tcW w:w="7281" w:type="dxa"/>
            <w:hideMark/>
          </w:tcPr>
          <w:p w14:paraId="0BF3F47F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Ročný výkaz o vlastnom imaní a rozdelení výsledku hospodárenia,</w:t>
            </w:r>
          </w:p>
        </w:tc>
      </w:tr>
      <w:tr w:rsidR="00287F12" w:rsidRPr="00287F12" w14:paraId="6B08DEDD" w14:textId="77777777" w:rsidTr="00287F12">
        <w:trPr>
          <w:trHeight w:val="128"/>
        </w:trPr>
        <w:tc>
          <w:tcPr>
            <w:tcW w:w="2508" w:type="dxa"/>
            <w:hideMark/>
          </w:tcPr>
          <w:p w14:paraId="36B9C916" w14:textId="6DF03F57" w:rsidR="00287F12" w:rsidRPr="00287F12" w:rsidRDefault="00287F12" w:rsidP="002021B5">
            <w:p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n) </w:t>
            </w:r>
            <w:r w:rsidR="002021B5">
              <w:rPr>
                <w:rFonts w:ascii="Cambria" w:hAnsi="Cambria" w:cstheme="minorHAnsi"/>
                <w:sz w:val="22"/>
                <w:szCs w:val="22"/>
              </w:rPr>
              <w:t xml:space="preserve">  </w:t>
            </w:r>
            <w:r w:rsidRPr="00287F12">
              <w:rPr>
                <w:rFonts w:ascii="Cambria" w:hAnsi="Cambria" w:cstheme="minorHAnsi"/>
                <w:sz w:val="22"/>
                <w:szCs w:val="22"/>
              </w:rPr>
              <w:t>Pb (NBS) 10-04</w:t>
            </w:r>
          </w:p>
        </w:tc>
        <w:tc>
          <w:tcPr>
            <w:tcW w:w="7281" w:type="dxa"/>
            <w:hideMark/>
          </w:tcPr>
          <w:p w14:paraId="10641867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Štvrťročný výkaz o priamych investíciách,</w:t>
            </w:r>
          </w:p>
        </w:tc>
      </w:tr>
      <w:tr w:rsidR="00287F12" w:rsidRPr="00287F12" w14:paraId="2DEAE4B1" w14:textId="77777777" w:rsidTr="00287F12">
        <w:trPr>
          <w:trHeight w:val="128"/>
        </w:trPr>
        <w:tc>
          <w:tcPr>
            <w:tcW w:w="2508" w:type="dxa"/>
            <w:hideMark/>
          </w:tcPr>
          <w:p w14:paraId="4E5AAE02" w14:textId="4E94E0B9" w:rsidR="00287F12" w:rsidRPr="00287F12" w:rsidRDefault="00287F12" w:rsidP="002021B5">
            <w:p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o) </w:t>
            </w:r>
            <w:r w:rsidR="002021B5">
              <w:rPr>
                <w:rFonts w:ascii="Cambria" w:hAnsi="Cambria" w:cstheme="minorHAnsi"/>
                <w:sz w:val="22"/>
                <w:szCs w:val="22"/>
              </w:rPr>
              <w:t xml:space="preserve">  </w:t>
            </w:r>
            <w:r w:rsidRPr="00287F12">
              <w:rPr>
                <w:rFonts w:ascii="Cambria" w:hAnsi="Cambria" w:cstheme="minorHAnsi"/>
                <w:sz w:val="22"/>
                <w:szCs w:val="22"/>
              </w:rPr>
              <w:t>Pb (NBS) 11-12</w:t>
            </w:r>
          </w:p>
        </w:tc>
        <w:tc>
          <w:tcPr>
            <w:tcW w:w="7281" w:type="dxa"/>
            <w:hideMark/>
          </w:tcPr>
          <w:p w14:paraId="07D267F5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Mesačný výkaz o dividendách,</w:t>
            </w:r>
          </w:p>
        </w:tc>
      </w:tr>
      <w:tr w:rsidR="00287F12" w:rsidRPr="00287F12" w14:paraId="123AF9E3" w14:textId="77777777" w:rsidTr="00287F12">
        <w:trPr>
          <w:trHeight w:val="128"/>
        </w:trPr>
        <w:tc>
          <w:tcPr>
            <w:tcW w:w="2508" w:type="dxa"/>
            <w:hideMark/>
          </w:tcPr>
          <w:p w14:paraId="2754271B" w14:textId="1878CF32" w:rsidR="00287F12" w:rsidRPr="00287F12" w:rsidRDefault="00287F12" w:rsidP="002021B5">
            <w:p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bookmarkStart w:id="4" w:name="_Hlk138974867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p) </w:t>
            </w:r>
            <w:r w:rsidR="002021B5">
              <w:rPr>
                <w:rFonts w:ascii="Cambria" w:hAnsi="Cambria" w:cstheme="minorHAnsi"/>
                <w:sz w:val="22"/>
                <w:szCs w:val="22"/>
              </w:rPr>
              <w:t xml:space="preserve">  </w:t>
            </w:r>
            <w:r w:rsidRPr="00287F12">
              <w:rPr>
                <w:rFonts w:ascii="Cambria" w:hAnsi="Cambria" w:cstheme="minorHAnsi"/>
                <w:sz w:val="22"/>
                <w:szCs w:val="22"/>
              </w:rPr>
              <w:t>Ps (NBS) 04-02</w:t>
            </w:r>
          </w:p>
          <w:p w14:paraId="626CF140" w14:textId="75387B04" w:rsidR="00287F12" w:rsidRPr="00287F12" w:rsidRDefault="00287F12" w:rsidP="002021B5">
            <w:p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q) </w:t>
            </w:r>
            <w:r w:rsidR="002021B5">
              <w:rPr>
                <w:rFonts w:ascii="Cambria" w:hAnsi="Cambria" w:cstheme="minorHAnsi"/>
                <w:sz w:val="22"/>
                <w:szCs w:val="22"/>
              </w:rPr>
              <w:t xml:space="preserve">  </w:t>
            </w:r>
            <w:r w:rsidRPr="00287F12">
              <w:rPr>
                <w:rFonts w:ascii="Cambria" w:hAnsi="Cambria" w:cstheme="minorHAnsi"/>
                <w:sz w:val="22"/>
                <w:szCs w:val="22"/>
              </w:rPr>
              <w:t>Ps (NBS) 05-04</w:t>
            </w:r>
          </w:p>
        </w:tc>
        <w:tc>
          <w:tcPr>
            <w:tcW w:w="7281" w:type="dxa"/>
            <w:hideMark/>
          </w:tcPr>
          <w:p w14:paraId="0870182B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Polročný výkaz o účtoch,</w:t>
            </w:r>
          </w:p>
          <w:p w14:paraId="4F5BDD05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Štvrťročný výkaz o kartových transakciách podľa typu terminálu,</w:t>
            </w:r>
          </w:p>
        </w:tc>
        <w:bookmarkEnd w:id="4"/>
      </w:tr>
      <w:tr w:rsidR="00287F12" w:rsidRPr="00287F12" w14:paraId="614807D0" w14:textId="77777777" w:rsidTr="00287F12">
        <w:trPr>
          <w:trHeight w:val="128"/>
        </w:trPr>
        <w:tc>
          <w:tcPr>
            <w:tcW w:w="2508" w:type="dxa"/>
            <w:hideMark/>
          </w:tcPr>
          <w:p w14:paraId="7B91309C" w14:textId="1BF91EAA" w:rsidR="00287F12" w:rsidRPr="00287F12" w:rsidRDefault="00287F12" w:rsidP="002021B5">
            <w:pPr>
              <w:autoSpaceDE w:val="0"/>
              <w:autoSpaceDN w:val="0"/>
              <w:adjustRightInd w:val="0"/>
              <w:ind w:left="321" w:hanging="321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r)  </w:t>
            </w:r>
            <w:r w:rsidR="0046047D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Pr="00287F12">
              <w:rPr>
                <w:rFonts w:ascii="Cambria" w:hAnsi="Cambria" w:cstheme="minorHAnsi"/>
                <w:sz w:val="22"/>
                <w:szCs w:val="22"/>
              </w:rPr>
              <w:t>Ps (NBS) 06-02</w:t>
            </w:r>
          </w:p>
        </w:tc>
        <w:tc>
          <w:tcPr>
            <w:tcW w:w="7281" w:type="dxa"/>
            <w:hideMark/>
          </w:tcPr>
          <w:p w14:paraId="0C02C4E4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Polročný výkaz o platobných transakciách a podvodných platobných transakciách (úhrady a inkasá),</w:t>
            </w:r>
          </w:p>
        </w:tc>
      </w:tr>
      <w:tr w:rsidR="00287F12" w:rsidRPr="00287F12" w14:paraId="7B70AABC" w14:textId="77777777" w:rsidTr="00287F12">
        <w:trPr>
          <w:trHeight w:val="128"/>
        </w:trPr>
        <w:tc>
          <w:tcPr>
            <w:tcW w:w="2508" w:type="dxa"/>
            <w:hideMark/>
          </w:tcPr>
          <w:p w14:paraId="23609E1E" w14:textId="0341B2D4" w:rsidR="00287F12" w:rsidRPr="00287F12" w:rsidRDefault="00287F12" w:rsidP="002021B5">
            <w:pPr>
              <w:autoSpaceDE w:val="0"/>
              <w:autoSpaceDN w:val="0"/>
              <w:adjustRightInd w:val="0"/>
              <w:ind w:left="462" w:hanging="462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s) </w:t>
            </w:r>
            <w:r w:rsidR="002021B5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Ps (NBS) 07-02</w:t>
            </w:r>
          </w:p>
        </w:tc>
        <w:tc>
          <w:tcPr>
            <w:tcW w:w="7281" w:type="dxa"/>
            <w:hideMark/>
          </w:tcPr>
          <w:p w14:paraId="4C9E996C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Polročný výkaz o platobných transakciách a podvodných platobných transakciách viazaných na kartu,</w:t>
            </w:r>
          </w:p>
        </w:tc>
      </w:tr>
      <w:tr w:rsidR="00287F12" w:rsidRPr="00287F12" w14:paraId="15EBFC1D" w14:textId="77777777" w:rsidTr="00287F12">
        <w:trPr>
          <w:trHeight w:val="128"/>
        </w:trPr>
        <w:tc>
          <w:tcPr>
            <w:tcW w:w="2508" w:type="dxa"/>
            <w:hideMark/>
          </w:tcPr>
          <w:p w14:paraId="2C52DAB8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lastRenderedPageBreak/>
              <w:t>t)    Ps (NBS) 08-02</w:t>
            </w:r>
          </w:p>
        </w:tc>
        <w:tc>
          <w:tcPr>
            <w:tcW w:w="7281" w:type="dxa"/>
            <w:hideMark/>
          </w:tcPr>
          <w:p w14:paraId="019D9865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Polročný výkaz o platobných transakciách a podvodných platobných transakciách (hotovosť, elektronické peniaze a ostatné),</w:t>
            </w:r>
          </w:p>
        </w:tc>
      </w:tr>
      <w:tr w:rsidR="00287F12" w:rsidRPr="00287F12" w14:paraId="472DD5B9" w14:textId="77777777" w:rsidTr="00287F12">
        <w:trPr>
          <w:trHeight w:val="128"/>
        </w:trPr>
        <w:tc>
          <w:tcPr>
            <w:tcW w:w="2508" w:type="dxa"/>
            <w:hideMark/>
          </w:tcPr>
          <w:p w14:paraId="19339877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u)   Ps (NBS) 09-12</w:t>
            </w:r>
          </w:p>
        </w:tc>
        <w:tc>
          <w:tcPr>
            <w:tcW w:w="7281" w:type="dxa"/>
            <w:hideMark/>
          </w:tcPr>
          <w:p w14:paraId="6B6CC77C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Mesačný výkaz o platobných transakciách,</w:t>
            </w:r>
          </w:p>
        </w:tc>
      </w:tr>
      <w:tr w:rsidR="00287F12" w:rsidRPr="00287F12" w14:paraId="467D9CF8" w14:textId="77777777" w:rsidTr="00287F12">
        <w:trPr>
          <w:trHeight w:val="128"/>
        </w:trPr>
        <w:tc>
          <w:tcPr>
            <w:tcW w:w="2508" w:type="dxa"/>
          </w:tcPr>
          <w:p w14:paraId="446CEB34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v)   SLUZ (NBS)1-04</w:t>
            </w:r>
          </w:p>
          <w:p w14:paraId="2188114B" w14:textId="77777777" w:rsidR="00287F12" w:rsidRPr="00287F12" w:rsidRDefault="00287F12" w:rsidP="00287F1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  <w:p w14:paraId="7C0C3732" w14:textId="3D526E8E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w)  Ps (NBS) 10-12</w:t>
            </w:r>
          </w:p>
        </w:tc>
        <w:tc>
          <w:tcPr>
            <w:tcW w:w="7281" w:type="dxa"/>
            <w:hideMark/>
          </w:tcPr>
          <w:p w14:paraId="7BAE67E8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Štvrťročný výkaz o prijatých službách zo zahraničia a poskytnutých službách do zahraničia (vlastné operácie banky),</w:t>
            </w:r>
          </w:p>
          <w:p w14:paraId="6CD51B1A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Mesačný výkaz o kartách, termináloch a kartových transakciách.“.</w:t>
            </w:r>
          </w:p>
        </w:tc>
      </w:tr>
    </w:tbl>
    <w:p w14:paraId="5BFBBEEB" w14:textId="77777777" w:rsidR="00287F12" w:rsidRPr="00287F12" w:rsidRDefault="00287F12" w:rsidP="00287F12">
      <w:pPr>
        <w:pStyle w:val="ListParagraph"/>
        <w:autoSpaceDE w:val="0"/>
        <w:autoSpaceDN w:val="0"/>
        <w:adjustRightInd w:val="0"/>
        <w:ind w:left="567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3D81BA1" w14:textId="77777777" w:rsidR="00287F12" w:rsidRPr="00287F12" w:rsidRDefault="00287F12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V § 1 ods. 1 sa vypúšťa písmeno h).</w:t>
      </w:r>
    </w:p>
    <w:p w14:paraId="74A8DCA8" w14:textId="77777777" w:rsidR="00287F12" w:rsidRPr="00287F12" w:rsidRDefault="00287F12" w:rsidP="0046047D">
      <w:pPr>
        <w:pStyle w:val="ListParagraph"/>
        <w:autoSpaceDE w:val="0"/>
        <w:autoSpaceDN w:val="0"/>
        <w:adjustRightInd w:val="0"/>
        <w:ind w:left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Doterajšie písmená i) až w) sa označujú ako písmená h) až v).</w:t>
      </w:r>
    </w:p>
    <w:p w14:paraId="0D260BD3" w14:textId="77777777" w:rsidR="00287F12" w:rsidRPr="00287F12" w:rsidRDefault="00287F12" w:rsidP="0046047D">
      <w:pPr>
        <w:pStyle w:val="ListParagraph"/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7A05B9F" w14:textId="77777777" w:rsidR="00287F12" w:rsidRPr="00287F12" w:rsidRDefault="00287F12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V § 1 ods. 3 sa slová „č. 1 až 24“ nahrádzajú slovami „č. 1 až 25“.</w:t>
      </w:r>
    </w:p>
    <w:p w14:paraId="2DE79E8E" w14:textId="77777777" w:rsidR="00287F12" w:rsidRPr="00287F12" w:rsidRDefault="00287F12" w:rsidP="0046047D">
      <w:pPr>
        <w:pStyle w:val="ListParagraph"/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9BA857A" w14:textId="77777777" w:rsidR="00287F12" w:rsidRPr="00287F12" w:rsidRDefault="00287F12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V § 2 odsek 1 znie:</w:t>
      </w:r>
    </w:p>
    <w:p w14:paraId="10CA06D5" w14:textId="77777777" w:rsidR="0046047D" w:rsidRDefault="0046047D" w:rsidP="0046047D">
      <w:pPr>
        <w:ind w:left="567" w:firstLine="426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39F75A1" w14:textId="4776EF4A" w:rsidR="00287F12" w:rsidRDefault="00287F12" w:rsidP="0046047D">
      <w:pPr>
        <w:tabs>
          <w:tab w:val="left" w:pos="1701"/>
        </w:tabs>
        <w:ind w:left="426" w:firstLine="567"/>
        <w:jc w:val="both"/>
        <w:rPr>
          <w:rFonts w:ascii="Cambria" w:hAnsi="Cambria" w:cstheme="minorHAnsi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„(1)</w:t>
      </w:r>
      <w:r w:rsidR="0046047D">
        <w:rPr>
          <w:rFonts w:ascii="Cambria" w:hAnsi="Cambria"/>
          <w:color w:val="000000" w:themeColor="text1"/>
          <w:sz w:val="22"/>
          <w:szCs w:val="22"/>
        </w:rPr>
        <w:tab/>
      </w:r>
      <w:r w:rsidRPr="00287F12">
        <w:rPr>
          <w:rFonts w:ascii="Cambria" w:hAnsi="Cambria" w:cstheme="minorHAnsi"/>
          <w:sz w:val="22"/>
          <w:szCs w:val="22"/>
        </w:rPr>
        <w:t>Výkazy bánk alebo pobočiek zahraničných bánk podľa § 1 ods. 1 sa predkladajú takto:</w:t>
      </w:r>
    </w:p>
    <w:p w14:paraId="7CA2A1FC" w14:textId="77777777" w:rsidR="0046047D" w:rsidRPr="00287F12" w:rsidRDefault="0046047D" w:rsidP="0046047D">
      <w:pPr>
        <w:ind w:left="567" w:firstLine="426"/>
        <w:jc w:val="both"/>
        <w:rPr>
          <w:rFonts w:ascii="Cambria" w:hAnsi="Cambria" w:cstheme="minorHAnsi"/>
          <w:sz w:val="22"/>
          <w:szCs w:val="22"/>
        </w:rPr>
      </w:pPr>
    </w:p>
    <w:tbl>
      <w:tblPr>
        <w:tblW w:w="10340" w:type="dxa"/>
        <w:tblLook w:val="04A0" w:firstRow="1" w:lastRow="0" w:firstColumn="1" w:lastColumn="0" w:noHBand="0" w:noVBand="1"/>
      </w:tblPr>
      <w:tblGrid>
        <w:gridCol w:w="2266"/>
        <w:gridCol w:w="1462"/>
        <w:gridCol w:w="4547"/>
        <w:gridCol w:w="2065"/>
      </w:tblGrid>
      <w:tr w:rsidR="00287F12" w:rsidRPr="00287F12" w14:paraId="07E49E28" w14:textId="77777777" w:rsidTr="00287F12">
        <w:trPr>
          <w:trHeight w:val="437"/>
        </w:trPr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70994C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Označenie výkazu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B5E388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Periodicita predkladania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E6B9F6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Termín predkladania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78FF3D" w14:textId="77777777" w:rsidR="00287F12" w:rsidRPr="00287F12" w:rsidRDefault="00287F12" w:rsidP="00287F1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Forma a spôsob predkladania</w:t>
            </w:r>
          </w:p>
        </w:tc>
      </w:tr>
      <w:tr w:rsidR="00287F12" w:rsidRPr="00287F12" w14:paraId="4113138F" w14:textId="77777777" w:rsidTr="00287F12">
        <w:trPr>
          <w:trHeight w:val="548"/>
        </w:trPr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941396" w14:textId="77777777" w:rsidR="00287F12" w:rsidRPr="00287F12" w:rsidRDefault="00287F1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bookmarkStart w:id="5" w:name="_Hlk65441113"/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Cp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01-12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C03E08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mesačne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1878E5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18:00 hodiny 10. pracovného dňa nasledujúceho mesiaca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E2C7AD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649D1D9A" w14:textId="77777777" w:rsidTr="00287F12">
        <w:trPr>
          <w:trHeight w:val="563"/>
        </w:trPr>
        <w:tc>
          <w:tcPr>
            <w:tcW w:w="2266" w:type="dxa"/>
            <w:hideMark/>
          </w:tcPr>
          <w:p w14:paraId="13E23B61" w14:textId="77777777" w:rsidR="00287F12" w:rsidRPr="00287F12" w:rsidRDefault="00287F1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00-12</w:t>
            </w:r>
          </w:p>
        </w:tc>
        <w:tc>
          <w:tcPr>
            <w:tcW w:w="1462" w:type="dxa"/>
            <w:hideMark/>
          </w:tcPr>
          <w:p w14:paraId="690CB753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mesačne</w:t>
            </w:r>
          </w:p>
        </w:tc>
        <w:tc>
          <w:tcPr>
            <w:tcW w:w="4547" w:type="dxa"/>
            <w:hideMark/>
          </w:tcPr>
          <w:p w14:paraId="27E1E91C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18:00 hodiny 10. pracovného dňa nasledujúceho mesiaca</w:t>
            </w:r>
          </w:p>
        </w:tc>
        <w:tc>
          <w:tcPr>
            <w:tcW w:w="2065" w:type="dxa"/>
            <w:hideMark/>
          </w:tcPr>
          <w:p w14:paraId="20B8979D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3A0C96F1" w14:textId="77777777" w:rsidTr="00287F12">
        <w:trPr>
          <w:trHeight w:val="563"/>
        </w:trPr>
        <w:tc>
          <w:tcPr>
            <w:tcW w:w="2266" w:type="dxa"/>
            <w:hideMark/>
          </w:tcPr>
          <w:p w14:paraId="7A85864B" w14:textId="77777777" w:rsidR="00287F12" w:rsidRPr="00287F12" w:rsidRDefault="00287F1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  <w:lang w:eastAsia="en-US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02-12</w:t>
            </w:r>
          </w:p>
        </w:tc>
        <w:tc>
          <w:tcPr>
            <w:tcW w:w="1462" w:type="dxa"/>
            <w:hideMark/>
          </w:tcPr>
          <w:p w14:paraId="6F7DD3EB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mesačne</w:t>
            </w:r>
          </w:p>
        </w:tc>
        <w:tc>
          <w:tcPr>
            <w:tcW w:w="4547" w:type="dxa"/>
            <w:hideMark/>
          </w:tcPr>
          <w:p w14:paraId="4937D522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18:00 hodiny 10. pracovného dňa nasledujúceho mesiaca</w:t>
            </w:r>
          </w:p>
        </w:tc>
        <w:tc>
          <w:tcPr>
            <w:tcW w:w="2065" w:type="dxa"/>
            <w:hideMark/>
          </w:tcPr>
          <w:p w14:paraId="7DF84F71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7712704E" w14:textId="77777777" w:rsidTr="00287F12">
        <w:trPr>
          <w:trHeight w:val="563"/>
        </w:trPr>
        <w:tc>
          <w:tcPr>
            <w:tcW w:w="2266" w:type="dxa"/>
            <w:hideMark/>
          </w:tcPr>
          <w:p w14:paraId="10075CD1" w14:textId="77777777" w:rsidR="00287F12" w:rsidRPr="00287F12" w:rsidRDefault="00287F1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03-12</w:t>
            </w:r>
          </w:p>
        </w:tc>
        <w:tc>
          <w:tcPr>
            <w:tcW w:w="1462" w:type="dxa"/>
            <w:hideMark/>
          </w:tcPr>
          <w:p w14:paraId="0580796C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mesačne</w:t>
            </w:r>
          </w:p>
        </w:tc>
        <w:tc>
          <w:tcPr>
            <w:tcW w:w="4547" w:type="dxa"/>
            <w:hideMark/>
          </w:tcPr>
          <w:p w14:paraId="2CBEE041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18:00 hodiny 10. pracovného dňa nasledujúceho mesiaca</w:t>
            </w:r>
          </w:p>
        </w:tc>
        <w:tc>
          <w:tcPr>
            <w:tcW w:w="2065" w:type="dxa"/>
            <w:hideMark/>
          </w:tcPr>
          <w:p w14:paraId="31ADE40C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5EBCAAFA" w14:textId="77777777" w:rsidTr="00287F12">
        <w:trPr>
          <w:trHeight w:val="563"/>
        </w:trPr>
        <w:tc>
          <w:tcPr>
            <w:tcW w:w="2266" w:type="dxa"/>
            <w:hideMark/>
          </w:tcPr>
          <w:p w14:paraId="196B5946" w14:textId="77777777" w:rsidR="00287F12" w:rsidRPr="00287F12" w:rsidRDefault="00287F1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04-12</w:t>
            </w:r>
          </w:p>
        </w:tc>
        <w:tc>
          <w:tcPr>
            <w:tcW w:w="1462" w:type="dxa"/>
            <w:hideMark/>
          </w:tcPr>
          <w:p w14:paraId="464C8C80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mesačne</w:t>
            </w:r>
          </w:p>
        </w:tc>
        <w:tc>
          <w:tcPr>
            <w:tcW w:w="4547" w:type="dxa"/>
            <w:hideMark/>
          </w:tcPr>
          <w:p w14:paraId="01B6DB94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18:00 hodiny 10.  pracovného dňa nasledujúceho mesiaca</w:t>
            </w:r>
          </w:p>
        </w:tc>
        <w:tc>
          <w:tcPr>
            <w:tcW w:w="2065" w:type="dxa"/>
            <w:hideMark/>
          </w:tcPr>
          <w:p w14:paraId="5F125E68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2D9FFFD3" w14:textId="77777777" w:rsidTr="00287F12">
        <w:trPr>
          <w:trHeight w:val="548"/>
        </w:trPr>
        <w:tc>
          <w:tcPr>
            <w:tcW w:w="2266" w:type="dxa"/>
            <w:hideMark/>
          </w:tcPr>
          <w:p w14:paraId="06F81895" w14:textId="77777777" w:rsidR="00287F12" w:rsidRPr="00287F12" w:rsidRDefault="00287F1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05-12</w:t>
            </w:r>
          </w:p>
        </w:tc>
        <w:tc>
          <w:tcPr>
            <w:tcW w:w="1462" w:type="dxa"/>
            <w:hideMark/>
          </w:tcPr>
          <w:p w14:paraId="76D3C4D9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mesačne</w:t>
            </w:r>
          </w:p>
        </w:tc>
        <w:tc>
          <w:tcPr>
            <w:tcW w:w="4547" w:type="dxa"/>
            <w:hideMark/>
          </w:tcPr>
          <w:p w14:paraId="3533A5EE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do 18:00 hodiny 10. pracovného dňa nasledujúceho mesiaca </w:t>
            </w:r>
          </w:p>
        </w:tc>
        <w:tc>
          <w:tcPr>
            <w:tcW w:w="2065" w:type="dxa"/>
            <w:hideMark/>
          </w:tcPr>
          <w:p w14:paraId="197160EC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6786CFC0" w14:textId="77777777" w:rsidTr="00287F12">
        <w:trPr>
          <w:trHeight w:val="563"/>
        </w:trPr>
        <w:tc>
          <w:tcPr>
            <w:tcW w:w="2266" w:type="dxa"/>
          </w:tcPr>
          <w:p w14:paraId="6E25FD11" w14:textId="77777777" w:rsidR="00287F12" w:rsidRPr="00287F12" w:rsidRDefault="00287F1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06-12</w:t>
            </w:r>
          </w:p>
          <w:p w14:paraId="426A76F4" w14:textId="77777777" w:rsidR="00287F12" w:rsidRPr="00287F12" w:rsidRDefault="00287F12" w:rsidP="00287F1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  <w:p w14:paraId="09623933" w14:textId="77777777" w:rsidR="00287F12" w:rsidRPr="00287F12" w:rsidRDefault="00287F1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287F12">
              <w:rPr>
                <w:rFonts w:ascii="Cambria" w:hAnsi="Cambria" w:cstheme="minorHAnsi"/>
                <w:sz w:val="22"/>
                <w:szCs w:val="22"/>
              </w:rPr>
              <w:t>Mk</w:t>
            </w:r>
            <w:proofErr w:type="spellEnd"/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 (NBS) 07-12</w:t>
            </w:r>
          </w:p>
        </w:tc>
        <w:tc>
          <w:tcPr>
            <w:tcW w:w="1462" w:type="dxa"/>
          </w:tcPr>
          <w:p w14:paraId="183902BE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mesačne</w:t>
            </w:r>
          </w:p>
          <w:p w14:paraId="5E2AE2C0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</w:p>
          <w:p w14:paraId="2E49D4A4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mesačne</w:t>
            </w:r>
          </w:p>
        </w:tc>
        <w:tc>
          <w:tcPr>
            <w:tcW w:w="4547" w:type="dxa"/>
            <w:hideMark/>
          </w:tcPr>
          <w:p w14:paraId="616F58D7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do 18:00 hodiny 10. pracovného dňa nasledujúceho mesiaca </w:t>
            </w:r>
          </w:p>
          <w:p w14:paraId="07B011F7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10. pracovného dňa nasledujúceho mesiaca</w:t>
            </w:r>
          </w:p>
        </w:tc>
        <w:tc>
          <w:tcPr>
            <w:tcW w:w="2065" w:type="dxa"/>
          </w:tcPr>
          <w:p w14:paraId="08ADECC0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  <w:p w14:paraId="13604830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</w:p>
          <w:p w14:paraId="6FBE0305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</w:t>
            </w:r>
          </w:p>
        </w:tc>
      </w:tr>
      <w:tr w:rsidR="00287F12" w:rsidRPr="00287F12" w14:paraId="44010572" w14:textId="77777777" w:rsidTr="00287F12">
        <w:trPr>
          <w:trHeight w:val="563"/>
        </w:trPr>
        <w:tc>
          <w:tcPr>
            <w:tcW w:w="2266" w:type="dxa"/>
            <w:hideMark/>
          </w:tcPr>
          <w:p w14:paraId="39DCD92F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i)    V (NBS) 12-12</w:t>
            </w:r>
          </w:p>
        </w:tc>
        <w:tc>
          <w:tcPr>
            <w:tcW w:w="1462" w:type="dxa"/>
            <w:hideMark/>
          </w:tcPr>
          <w:p w14:paraId="6884B125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mesačne</w:t>
            </w:r>
          </w:p>
        </w:tc>
        <w:tc>
          <w:tcPr>
            <w:tcW w:w="4547" w:type="dxa"/>
            <w:hideMark/>
          </w:tcPr>
          <w:p w14:paraId="458CC6D0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15. kalendárneho dňa nasledujúceho mesiaca</w:t>
            </w:r>
          </w:p>
        </w:tc>
        <w:tc>
          <w:tcPr>
            <w:tcW w:w="2065" w:type="dxa"/>
            <w:hideMark/>
          </w:tcPr>
          <w:p w14:paraId="44B3E265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6A8C8421" w14:textId="77777777" w:rsidTr="00287F12">
        <w:trPr>
          <w:trHeight w:val="563"/>
        </w:trPr>
        <w:tc>
          <w:tcPr>
            <w:tcW w:w="2266" w:type="dxa"/>
            <w:hideMark/>
          </w:tcPr>
          <w:p w14:paraId="763ACE90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j)    V (NBS) 13-04</w:t>
            </w:r>
          </w:p>
        </w:tc>
        <w:tc>
          <w:tcPr>
            <w:tcW w:w="1462" w:type="dxa"/>
            <w:hideMark/>
          </w:tcPr>
          <w:p w14:paraId="49135695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štvrťročne</w:t>
            </w:r>
          </w:p>
        </w:tc>
        <w:tc>
          <w:tcPr>
            <w:tcW w:w="4547" w:type="dxa"/>
            <w:hideMark/>
          </w:tcPr>
          <w:p w14:paraId="05ED7E1B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15. kalendárneho dňa mesiaca nasledujúceho po uplynutí štvrťroka</w:t>
            </w:r>
          </w:p>
        </w:tc>
        <w:tc>
          <w:tcPr>
            <w:tcW w:w="2065" w:type="dxa"/>
            <w:hideMark/>
          </w:tcPr>
          <w:p w14:paraId="030B7B79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75A6D6C9" w14:textId="77777777" w:rsidTr="00287F12">
        <w:trPr>
          <w:trHeight w:val="563"/>
        </w:trPr>
        <w:tc>
          <w:tcPr>
            <w:tcW w:w="2266" w:type="dxa"/>
            <w:hideMark/>
          </w:tcPr>
          <w:p w14:paraId="2BB5E884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k)    V (NBS) 14-98</w:t>
            </w:r>
          </w:p>
        </w:tc>
        <w:tc>
          <w:tcPr>
            <w:tcW w:w="1462" w:type="dxa"/>
            <w:hideMark/>
          </w:tcPr>
          <w:p w14:paraId="7CA5EA77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denne</w:t>
            </w:r>
          </w:p>
        </w:tc>
        <w:tc>
          <w:tcPr>
            <w:tcW w:w="4547" w:type="dxa"/>
            <w:hideMark/>
          </w:tcPr>
          <w:p w14:paraId="0420C142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do 11.00 hod. nasledujúceho pracovného </w:t>
            </w:r>
          </w:p>
          <w:p w14:paraId="77A2B559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dňa</w:t>
            </w:r>
          </w:p>
        </w:tc>
        <w:tc>
          <w:tcPr>
            <w:tcW w:w="2065" w:type="dxa"/>
            <w:hideMark/>
          </w:tcPr>
          <w:p w14:paraId="38141643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4A1A0838" w14:textId="77777777" w:rsidTr="00287F12">
        <w:trPr>
          <w:trHeight w:val="563"/>
        </w:trPr>
        <w:tc>
          <w:tcPr>
            <w:tcW w:w="2266" w:type="dxa"/>
            <w:hideMark/>
          </w:tcPr>
          <w:p w14:paraId="1C8AE40B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l)     V (NBS) 34-04</w:t>
            </w:r>
          </w:p>
        </w:tc>
        <w:tc>
          <w:tcPr>
            <w:tcW w:w="1462" w:type="dxa"/>
            <w:hideMark/>
          </w:tcPr>
          <w:p w14:paraId="175B39C3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štvrťročne</w:t>
            </w:r>
          </w:p>
        </w:tc>
        <w:tc>
          <w:tcPr>
            <w:tcW w:w="4547" w:type="dxa"/>
            <w:hideMark/>
          </w:tcPr>
          <w:p w14:paraId="21C3B76C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25. kalendárneho dňa mesiaca nasledujúceho po uplynutí štvrťroka</w:t>
            </w:r>
          </w:p>
        </w:tc>
        <w:tc>
          <w:tcPr>
            <w:tcW w:w="2065" w:type="dxa"/>
            <w:hideMark/>
          </w:tcPr>
          <w:p w14:paraId="6C606BF2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1FAEA87D" w14:textId="77777777" w:rsidTr="00287F12">
        <w:trPr>
          <w:trHeight w:val="563"/>
        </w:trPr>
        <w:tc>
          <w:tcPr>
            <w:tcW w:w="2266" w:type="dxa"/>
            <w:hideMark/>
          </w:tcPr>
          <w:p w14:paraId="63BA15FF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m)   Pb (NBS) 4-01</w:t>
            </w:r>
          </w:p>
        </w:tc>
        <w:tc>
          <w:tcPr>
            <w:tcW w:w="1462" w:type="dxa"/>
            <w:hideMark/>
          </w:tcPr>
          <w:p w14:paraId="74EAC6AD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ročne</w:t>
            </w:r>
          </w:p>
        </w:tc>
        <w:tc>
          <w:tcPr>
            <w:tcW w:w="4547" w:type="dxa"/>
            <w:hideMark/>
          </w:tcPr>
          <w:p w14:paraId="6DD4E264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do 31. júla nasledujúceho kalendárneho </w:t>
            </w:r>
          </w:p>
          <w:p w14:paraId="1AFE06CC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roka</w:t>
            </w:r>
          </w:p>
        </w:tc>
        <w:tc>
          <w:tcPr>
            <w:tcW w:w="2065" w:type="dxa"/>
            <w:hideMark/>
          </w:tcPr>
          <w:p w14:paraId="1E578C50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6DF4E4DD" w14:textId="77777777" w:rsidTr="00287F12">
        <w:trPr>
          <w:trHeight w:val="563"/>
        </w:trPr>
        <w:tc>
          <w:tcPr>
            <w:tcW w:w="2266" w:type="dxa"/>
            <w:hideMark/>
          </w:tcPr>
          <w:p w14:paraId="0A828B92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lastRenderedPageBreak/>
              <w:t>n)    Pb (NBS) 10-04</w:t>
            </w:r>
          </w:p>
        </w:tc>
        <w:tc>
          <w:tcPr>
            <w:tcW w:w="1462" w:type="dxa"/>
            <w:hideMark/>
          </w:tcPr>
          <w:p w14:paraId="4D311071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štvrťročne</w:t>
            </w:r>
          </w:p>
        </w:tc>
        <w:tc>
          <w:tcPr>
            <w:tcW w:w="4547" w:type="dxa"/>
            <w:hideMark/>
          </w:tcPr>
          <w:p w14:paraId="6E50A5ED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15. kalendárneho dňa mesiaca nasledujúceho po uplynutí štvrťroka</w:t>
            </w:r>
          </w:p>
        </w:tc>
        <w:tc>
          <w:tcPr>
            <w:tcW w:w="2065" w:type="dxa"/>
            <w:hideMark/>
          </w:tcPr>
          <w:p w14:paraId="26FA5E00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46FB3D22" w14:textId="77777777" w:rsidTr="00287F12">
        <w:trPr>
          <w:trHeight w:val="563"/>
        </w:trPr>
        <w:tc>
          <w:tcPr>
            <w:tcW w:w="2266" w:type="dxa"/>
            <w:hideMark/>
          </w:tcPr>
          <w:p w14:paraId="66FCDB55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o)    Pb (NBS) 11-12</w:t>
            </w:r>
          </w:p>
        </w:tc>
        <w:tc>
          <w:tcPr>
            <w:tcW w:w="1462" w:type="dxa"/>
            <w:hideMark/>
          </w:tcPr>
          <w:p w14:paraId="0D773F32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mesačne</w:t>
            </w:r>
          </w:p>
        </w:tc>
        <w:tc>
          <w:tcPr>
            <w:tcW w:w="4547" w:type="dxa"/>
            <w:hideMark/>
          </w:tcPr>
          <w:p w14:paraId="32C0298C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15. kalendárneho dňa nasledujúceho mesiaca</w:t>
            </w:r>
          </w:p>
        </w:tc>
        <w:tc>
          <w:tcPr>
            <w:tcW w:w="2065" w:type="dxa"/>
            <w:hideMark/>
          </w:tcPr>
          <w:p w14:paraId="1106A52C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0084912A" w14:textId="77777777" w:rsidTr="00287F12">
        <w:trPr>
          <w:trHeight w:val="528"/>
        </w:trPr>
        <w:tc>
          <w:tcPr>
            <w:tcW w:w="2266" w:type="dxa"/>
            <w:hideMark/>
          </w:tcPr>
          <w:p w14:paraId="2F652B60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p)   Ps (NBS) 04-02</w:t>
            </w:r>
          </w:p>
        </w:tc>
        <w:tc>
          <w:tcPr>
            <w:tcW w:w="1462" w:type="dxa"/>
          </w:tcPr>
          <w:p w14:paraId="573DDC8A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polročne</w:t>
            </w:r>
          </w:p>
          <w:p w14:paraId="7B426BBA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547" w:type="dxa"/>
            <w:hideMark/>
          </w:tcPr>
          <w:p w14:paraId="3E2BB75B" w14:textId="21C9B455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posledného kalendárneho dňa tretieho mesiaca po uplynutí polroka</w:t>
            </w:r>
          </w:p>
        </w:tc>
        <w:tc>
          <w:tcPr>
            <w:tcW w:w="2065" w:type="dxa"/>
            <w:hideMark/>
          </w:tcPr>
          <w:p w14:paraId="2E25F068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5BB1C16C" w14:textId="77777777" w:rsidTr="00287F12">
        <w:trPr>
          <w:trHeight w:val="548"/>
        </w:trPr>
        <w:tc>
          <w:tcPr>
            <w:tcW w:w="2266" w:type="dxa"/>
            <w:hideMark/>
          </w:tcPr>
          <w:p w14:paraId="78C1A164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q)    Ps (NBS) 05-04  </w:t>
            </w:r>
          </w:p>
        </w:tc>
        <w:tc>
          <w:tcPr>
            <w:tcW w:w="1462" w:type="dxa"/>
            <w:hideMark/>
          </w:tcPr>
          <w:p w14:paraId="37596ED1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štvrťročne</w:t>
            </w:r>
          </w:p>
        </w:tc>
        <w:tc>
          <w:tcPr>
            <w:tcW w:w="4547" w:type="dxa"/>
            <w:hideMark/>
          </w:tcPr>
          <w:p w14:paraId="7CFD261B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do posledného kalendárneho dňa mesiaca nasledujúceho po uplynutí štvrťroka </w:t>
            </w:r>
          </w:p>
        </w:tc>
        <w:tc>
          <w:tcPr>
            <w:tcW w:w="2065" w:type="dxa"/>
            <w:hideMark/>
          </w:tcPr>
          <w:p w14:paraId="16ABE660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7FAC9C05" w14:textId="77777777" w:rsidTr="00287F12">
        <w:trPr>
          <w:trHeight w:val="563"/>
        </w:trPr>
        <w:tc>
          <w:tcPr>
            <w:tcW w:w="2266" w:type="dxa"/>
            <w:hideMark/>
          </w:tcPr>
          <w:p w14:paraId="4D563030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r)    Ps (NBS) 06-02 </w:t>
            </w:r>
          </w:p>
        </w:tc>
        <w:tc>
          <w:tcPr>
            <w:tcW w:w="1462" w:type="dxa"/>
            <w:hideMark/>
          </w:tcPr>
          <w:p w14:paraId="7E83871D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polročne</w:t>
            </w:r>
          </w:p>
        </w:tc>
        <w:tc>
          <w:tcPr>
            <w:tcW w:w="4547" w:type="dxa"/>
            <w:hideMark/>
          </w:tcPr>
          <w:p w14:paraId="16E35009" w14:textId="5217EFB4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do posledného kalendárneho dňa tretieho mesiaca po uplynutí polroka </w:t>
            </w:r>
          </w:p>
        </w:tc>
        <w:tc>
          <w:tcPr>
            <w:tcW w:w="2065" w:type="dxa"/>
            <w:hideMark/>
          </w:tcPr>
          <w:p w14:paraId="29821D59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3E1C98B3" w14:textId="77777777" w:rsidTr="00287F12">
        <w:trPr>
          <w:trHeight w:val="563"/>
        </w:trPr>
        <w:tc>
          <w:tcPr>
            <w:tcW w:w="2266" w:type="dxa"/>
            <w:hideMark/>
          </w:tcPr>
          <w:p w14:paraId="1BEA70F7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s)    Ps (NBS) 07-02 </w:t>
            </w:r>
          </w:p>
        </w:tc>
        <w:tc>
          <w:tcPr>
            <w:tcW w:w="1462" w:type="dxa"/>
            <w:hideMark/>
          </w:tcPr>
          <w:p w14:paraId="0BFC8508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polročne</w:t>
            </w:r>
          </w:p>
        </w:tc>
        <w:tc>
          <w:tcPr>
            <w:tcW w:w="4547" w:type="dxa"/>
            <w:hideMark/>
          </w:tcPr>
          <w:p w14:paraId="71883A74" w14:textId="7B53A986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posledného kalendárneho dňa tretieho</w:t>
            </w:r>
          </w:p>
          <w:p w14:paraId="123756F9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 xml:space="preserve">mesiaca po uplynutí polroka </w:t>
            </w:r>
          </w:p>
        </w:tc>
        <w:tc>
          <w:tcPr>
            <w:tcW w:w="2065" w:type="dxa"/>
            <w:hideMark/>
          </w:tcPr>
          <w:p w14:paraId="70105869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554981C1" w14:textId="77777777" w:rsidTr="00287F12">
        <w:trPr>
          <w:trHeight w:val="563"/>
        </w:trPr>
        <w:tc>
          <w:tcPr>
            <w:tcW w:w="2266" w:type="dxa"/>
            <w:hideMark/>
          </w:tcPr>
          <w:p w14:paraId="6A1ADBDF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t)    Ps (NBS) 08-02</w:t>
            </w:r>
          </w:p>
        </w:tc>
        <w:tc>
          <w:tcPr>
            <w:tcW w:w="1462" w:type="dxa"/>
            <w:hideMark/>
          </w:tcPr>
          <w:p w14:paraId="2371F9D7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polročne</w:t>
            </w:r>
          </w:p>
        </w:tc>
        <w:tc>
          <w:tcPr>
            <w:tcW w:w="4547" w:type="dxa"/>
            <w:hideMark/>
          </w:tcPr>
          <w:p w14:paraId="668A824C" w14:textId="539B716A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posledného kalendárneho dňa tretieho</w:t>
            </w:r>
          </w:p>
          <w:p w14:paraId="6AB58B9A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mesiaca po uplynutí polroka</w:t>
            </w:r>
          </w:p>
        </w:tc>
        <w:tc>
          <w:tcPr>
            <w:tcW w:w="2065" w:type="dxa"/>
            <w:hideMark/>
          </w:tcPr>
          <w:p w14:paraId="51B985A9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20BA8355" w14:textId="77777777" w:rsidTr="00287F12">
        <w:trPr>
          <w:trHeight w:val="563"/>
        </w:trPr>
        <w:tc>
          <w:tcPr>
            <w:tcW w:w="2266" w:type="dxa"/>
            <w:hideMark/>
          </w:tcPr>
          <w:p w14:paraId="0003AF65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u)    Ps (NBS) 09-12</w:t>
            </w:r>
          </w:p>
        </w:tc>
        <w:tc>
          <w:tcPr>
            <w:tcW w:w="1462" w:type="dxa"/>
            <w:hideMark/>
          </w:tcPr>
          <w:p w14:paraId="286C66D9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mesačne</w:t>
            </w:r>
          </w:p>
        </w:tc>
        <w:tc>
          <w:tcPr>
            <w:tcW w:w="4547" w:type="dxa"/>
            <w:hideMark/>
          </w:tcPr>
          <w:p w14:paraId="61B24C4D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posledného kalendárneho dňa nasledujúceho mesiaca</w:t>
            </w:r>
          </w:p>
        </w:tc>
        <w:tc>
          <w:tcPr>
            <w:tcW w:w="2065" w:type="dxa"/>
            <w:hideMark/>
          </w:tcPr>
          <w:p w14:paraId="102619DA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</w:tc>
      </w:tr>
      <w:tr w:rsidR="00287F12" w:rsidRPr="00287F12" w14:paraId="4D5B9B27" w14:textId="77777777" w:rsidTr="00287F12">
        <w:trPr>
          <w:trHeight w:val="563"/>
        </w:trPr>
        <w:tc>
          <w:tcPr>
            <w:tcW w:w="2266" w:type="dxa"/>
          </w:tcPr>
          <w:p w14:paraId="2E4D2421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bookmarkStart w:id="6" w:name="_Hlk138975565"/>
            <w:r w:rsidRPr="00287F12">
              <w:rPr>
                <w:rFonts w:ascii="Cambria" w:hAnsi="Cambria" w:cstheme="minorHAnsi"/>
                <w:sz w:val="22"/>
                <w:szCs w:val="22"/>
              </w:rPr>
              <w:t>v)    SLUZ(NBS)1-04</w:t>
            </w:r>
          </w:p>
          <w:p w14:paraId="606FCE11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</w:p>
          <w:p w14:paraId="3C415857" w14:textId="77777777" w:rsidR="00287F12" w:rsidRPr="00287F12" w:rsidRDefault="00287F12" w:rsidP="00287F12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w)   Ps (NBS) 10-12</w:t>
            </w:r>
          </w:p>
        </w:tc>
        <w:tc>
          <w:tcPr>
            <w:tcW w:w="1462" w:type="dxa"/>
          </w:tcPr>
          <w:p w14:paraId="31E6C63E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štvrťročne</w:t>
            </w:r>
          </w:p>
          <w:p w14:paraId="7D4FFAAF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</w:p>
          <w:p w14:paraId="0050F454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mesačne</w:t>
            </w:r>
          </w:p>
        </w:tc>
        <w:tc>
          <w:tcPr>
            <w:tcW w:w="4547" w:type="dxa"/>
            <w:hideMark/>
          </w:tcPr>
          <w:p w14:paraId="3CB9EB98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25. kalendárneho dňa mesiaca nasledujúceho po uplynutí štvrťroka</w:t>
            </w:r>
          </w:p>
          <w:p w14:paraId="438FFF16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do posledného kalendárneho dňa nasledujúceho mesiaca</w:t>
            </w:r>
          </w:p>
        </w:tc>
        <w:tc>
          <w:tcPr>
            <w:tcW w:w="2065" w:type="dxa"/>
          </w:tcPr>
          <w:p w14:paraId="0639C131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elektronicky,</w:t>
            </w:r>
          </w:p>
          <w:p w14:paraId="70B5323D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</w:p>
          <w:p w14:paraId="72554C43" w14:textId="77777777" w:rsidR="00287F12" w:rsidRPr="00287F12" w:rsidRDefault="00287F12" w:rsidP="00287F12">
            <w:pPr>
              <w:rPr>
                <w:rFonts w:ascii="Cambria" w:hAnsi="Cambria" w:cstheme="minorHAnsi"/>
                <w:sz w:val="22"/>
                <w:szCs w:val="22"/>
              </w:rPr>
            </w:pPr>
            <w:r w:rsidRPr="00287F12">
              <w:rPr>
                <w:rFonts w:ascii="Cambria" w:hAnsi="Cambria" w:cstheme="minorHAnsi"/>
                <w:sz w:val="22"/>
                <w:szCs w:val="22"/>
              </w:rPr>
              <w:t>elektronicky.“.</w:t>
            </w:r>
          </w:p>
        </w:tc>
      </w:tr>
      <w:bookmarkEnd w:id="5"/>
      <w:bookmarkEnd w:id="6"/>
    </w:tbl>
    <w:p w14:paraId="4E5C07E6" w14:textId="77777777" w:rsidR="00287F12" w:rsidRPr="00287F12" w:rsidRDefault="00287F12" w:rsidP="00287F12">
      <w:pPr>
        <w:pStyle w:val="ListParagraph"/>
        <w:autoSpaceDE w:val="0"/>
        <w:autoSpaceDN w:val="0"/>
        <w:adjustRightInd w:val="0"/>
        <w:ind w:left="567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3BA7EF80" w14:textId="77777777" w:rsidR="00287F12" w:rsidRPr="00287F12" w:rsidRDefault="00287F12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V § 2 ods. 1 sa vypúšťa písmeno h).</w:t>
      </w:r>
    </w:p>
    <w:p w14:paraId="349BDF63" w14:textId="77777777" w:rsidR="00287F12" w:rsidRPr="00287F12" w:rsidRDefault="00287F12" w:rsidP="0046047D">
      <w:pPr>
        <w:autoSpaceDE w:val="0"/>
        <w:autoSpaceDN w:val="0"/>
        <w:adjustRightInd w:val="0"/>
        <w:ind w:left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Doterajšie písmená i) až w) sa označujú ako písmená h) až v).</w:t>
      </w:r>
    </w:p>
    <w:p w14:paraId="5AD5A34B" w14:textId="77777777" w:rsidR="00287F12" w:rsidRPr="00287F12" w:rsidRDefault="00287F12" w:rsidP="0046047D">
      <w:p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0E65547" w14:textId="77777777" w:rsidR="00287F12" w:rsidRPr="00287F12" w:rsidRDefault="00287F12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sz w:val="22"/>
          <w:szCs w:val="22"/>
        </w:rPr>
      </w:pPr>
      <w:r w:rsidRPr="00287F12">
        <w:rPr>
          <w:rFonts w:ascii="Cambria" w:hAnsi="Cambria"/>
          <w:color w:val="000000"/>
          <w:sz w:val="22"/>
          <w:szCs w:val="22"/>
        </w:rPr>
        <w:t>Za § 6 sa vkladá § 6a, ktorý znie:</w:t>
      </w:r>
    </w:p>
    <w:p w14:paraId="2F626740" w14:textId="77777777" w:rsidR="00287F12" w:rsidRPr="008A65D7" w:rsidRDefault="00287F12" w:rsidP="00287F12">
      <w:pPr>
        <w:pStyle w:val="ListParagraph"/>
        <w:keepNext/>
        <w:ind w:left="357"/>
        <w:jc w:val="center"/>
        <w:outlineLvl w:val="0"/>
        <w:rPr>
          <w:rFonts w:ascii="Cambria" w:hAnsi="Cambria"/>
          <w:color w:val="000000"/>
          <w:sz w:val="22"/>
          <w:szCs w:val="22"/>
        </w:rPr>
      </w:pPr>
      <w:r w:rsidRPr="0046047D">
        <w:rPr>
          <w:rFonts w:ascii="Cambria" w:hAnsi="Cambria"/>
          <w:color w:val="000000"/>
          <w:sz w:val="22"/>
          <w:szCs w:val="22"/>
        </w:rPr>
        <w:t>„</w:t>
      </w:r>
      <w:bookmarkEnd w:id="2"/>
      <w:bookmarkEnd w:id="3"/>
      <w:r w:rsidRPr="008A65D7">
        <w:rPr>
          <w:rFonts w:ascii="Cambria" w:hAnsi="Cambria"/>
          <w:color w:val="000000"/>
          <w:sz w:val="22"/>
          <w:szCs w:val="22"/>
        </w:rPr>
        <w:t>§ 6a</w:t>
      </w:r>
    </w:p>
    <w:p w14:paraId="6D1FCFA6" w14:textId="77777777" w:rsidR="00287F12" w:rsidRPr="00287F12" w:rsidRDefault="00287F12" w:rsidP="00287F12">
      <w:pPr>
        <w:pStyle w:val="ListParagraph"/>
        <w:keepNext/>
        <w:ind w:left="357"/>
        <w:jc w:val="center"/>
        <w:outlineLvl w:val="0"/>
        <w:rPr>
          <w:rFonts w:ascii="Cambria" w:hAnsi="Cambria"/>
          <w:sz w:val="22"/>
          <w:szCs w:val="22"/>
        </w:rPr>
      </w:pPr>
    </w:p>
    <w:p w14:paraId="786E057E" w14:textId="3FB8BE9E" w:rsidR="00287F12" w:rsidRPr="00287F12" w:rsidRDefault="00287F12" w:rsidP="0046047D">
      <w:pPr>
        <w:tabs>
          <w:tab w:val="left" w:pos="1701"/>
        </w:tabs>
        <w:ind w:left="426" w:firstLine="567"/>
        <w:jc w:val="both"/>
        <w:rPr>
          <w:rFonts w:ascii="Cambria" w:hAnsi="Cambria"/>
          <w:sz w:val="22"/>
          <w:szCs w:val="22"/>
        </w:rPr>
      </w:pPr>
      <w:bookmarkStart w:id="7" w:name="_Hlk142569180"/>
      <w:bookmarkStart w:id="8" w:name="_Hlk139110494"/>
      <w:r w:rsidRPr="00287F12">
        <w:rPr>
          <w:rFonts w:ascii="Cambria" w:hAnsi="Cambria"/>
          <w:sz w:val="22"/>
          <w:szCs w:val="22"/>
        </w:rPr>
        <w:t>(1)</w:t>
      </w:r>
      <w:bookmarkStart w:id="9" w:name="_Hlk141620622"/>
      <w:bookmarkStart w:id="10" w:name="_Hlk148359041"/>
      <w:r w:rsidR="0046047D">
        <w:rPr>
          <w:rFonts w:ascii="Cambria" w:hAnsi="Cambria"/>
          <w:sz w:val="22"/>
          <w:szCs w:val="22"/>
        </w:rPr>
        <w:tab/>
      </w:r>
      <w:r w:rsidRPr="00287F12">
        <w:rPr>
          <w:rFonts w:ascii="Cambria" w:hAnsi="Cambria"/>
          <w:sz w:val="22"/>
          <w:szCs w:val="22"/>
        </w:rPr>
        <w:t>Výkaz Pb (NBS) 12-12 za jún 2024, výkazy Pb (NBS) 13-04</w:t>
      </w:r>
      <w:r w:rsidRPr="00287F12">
        <w:rPr>
          <w:rStyle w:val="Heading1Char"/>
          <w:rFonts w:ascii="Cambria" w:hAnsi="Cambria"/>
          <w:sz w:val="22"/>
          <w:szCs w:val="22"/>
        </w:rPr>
        <w:t xml:space="preserve"> </w:t>
      </w:r>
      <w:bookmarkStart w:id="11" w:name="_Hlk142926698"/>
      <w:r w:rsidRPr="00287F12">
        <w:rPr>
          <w:rStyle w:val="cf01"/>
          <w:rFonts w:ascii="Cambria" w:eastAsiaTheme="majorEastAsia" w:hAnsi="Cambria"/>
          <w:sz w:val="22"/>
          <w:szCs w:val="22"/>
        </w:rPr>
        <w:t>a Ps (NBS) 09-04</w:t>
      </w:r>
      <w:r w:rsidRPr="00287F12">
        <w:rPr>
          <w:rFonts w:ascii="Cambria" w:hAnsi="Cambria"/>
          <w:sz w:val="22"/>
          <w:szCs w:val="22"/>
        </w:rPr>
        <w:t xml:space="preserve"> </w:t>
      </w:r>
      <w:bookmarkEnd w:id="11"/>
      <w:r w:rsidRPr="00287F12">
        <w:rPr>
          <w:rFonts w:ascii="Cambria" w:hAnsi="Cambria"/>
          <w:sz w:val="22"/>
          <w:szCs w:val="22"/>
        </w:rPr>
        <w:t>za</w:t>
      </w:r>
      <w:r w:rsidR="0046047D">
        <w:rPr>
          <w:rFonts w:ascii="Cambria" w:hAnsi="Cambria"/>
          <w:sz w:val="22"/>
          <w:szCs w:val="22"/>
        </w:rPr>
        <w:t> </w:t>
      </w:r>
      <w:r w:rsidRPr="00287F12">
        <w:rPr>
          <w:rFonts w:ascii="Cambria" w:hAnsi="Cambria"/>
          <w:sz w:val="22"/>
          <w:szCs w:val="22"/>
        </w:rPr>
        <w:t>druhý kalendárny štvrťrok 2024 a výkaz Ps (NBS) 05-02 za prvý kalendárny polrok 2024 sa</w:t>
      </w:r>
      <w:r w:rsidR="0046047D">
        <w:rPr>
          <w:rFonts w:ascii="Cambria" w:hAnsi="Cambria"/>
          <w:sz w:val="22"/>
          <w:szCs w:val="22"/>
        </w:rPr>
        <w:t> </w:t>
      </w:r>
      <w:r w:rsidRPr="00287F12">
        <w:rPr>
          <w:rFonts w:ascii="Cambria" w:hAnsi="Cambria"/>
          <w:sz w:val="22"/>
          <w:szCs w:val="22"/>
        </w:rPr>
        <w:t>zostavia a predložia podľa tohto opatrenia v znení účinnom do 30. júna 2024.</w:t>
      </w:r>
      <w:bookmarkEnd w:id="9"/>
    </w:p>
    <w:p w14:paraId="2FD5AC15" w14:textId="77777777" w:rsidR="00287F12" w:rsidRPr="00287F12" w:rsidRDefault="00287F12" w:rsidP="0046047D">
      <w:pPr>
        <w:tabs>
          <w:tab w:val="left" w:pos="1701"/>
        </w:tabs>
        <w:ind w:left="426" w:firstLine="567"/>
        <w:jc w:val="both"/>
        <w:rPr>
          <w:rFonts w:ascii="Cambria" w:hAnsi="Cambria"/>
          <w:sz w:val="22"/>
          <w:szCs w:val="22"/>
        </w:rPr>
      </w:pPr>
    </w:p>
    <w:p w14:paraId="33377E77" w14:textId="6B2D0DFE" w:rsidR="00287F12" w:rsidRPr="00287F12" w:rsidRDefault="00287F12" w:rsidP="0046047D">
      <w:pPr>
        <w:tabs>
          <w:tab w:val="left" w:pos="1701"/>
        </w:tabs>
        <w:ind w:left="426" w:firstLine="567"/>
        <w:jc w:val="both"/>
        <w:rPr>
          <w:rFonts w:ascii="Cambria" w:hAnsi="Cambria" w:cstheme="minorHAnsi"/>
          <w:sz w:val="22"/>
          <w:szCs w:val="22"/>
        </w:rPr>
      </w:pPr>
      <w:r w:rsidRPr="00287F12">
        <w:rPr>
          <w:rFonts w:ascii="Cambria" w:hAnsi="Cambria" w:cstheme="minorHAnsi"/>
          <w:sz w:val="22"/>
          <w:szCs w:val="22"/>
        </w:rPr>
        <w:t>(2)</w:t>
      </w:r>
      <w:r w:rsidR="0046047D">
        <w:rPr>
          <w:rFonts w:ascii="Cambria" w:hAnsi="Cambria" w:cstheme="minorHAnsi"/>
          <w:sz w:val="22"/>
          <w:szCs w:val="22"/>
        </w:rPr>
        <w:tab/>
      </w:r>
      <w:r w:rsidRPr="00287F12">
        <w:rPr>
          <w:rFonts w:ascii="Cambria" w:hAnsi="Cambria" w:cstheme="minorHAnsi"/>
          <w:sz w:val="22"/>
          <w:szCs w:val="22"/>
        </w:rPr>
        <w:t xml:space="preserve">Výkaz </w:t>
      </w:r>
      <w:proofErr w:type="spellStart"/>
      <w:r w:rsidRPr="00287F12">
        <w:rPr>
          <w:rFonts w:ascii="Cambria" w:hAnsi="Cambria"/>
          <w:sz w:val="22"/>
          <w:szCs w:val="22"/>
        </w:rPr>
        <w:t>Mk</w:t>
      </w:r>
      <w:proofErr w:type="spellEnd"/>
      <w:r w:rsidRPr="00287F12">
        <w:rPr>
          <w:rFonts w:ascii="Cambria" w:hAnsi="Cambria"/>
          <w:sz w:val="22"/>
          <w:szCs w:val="22"/>
        </w:rPr>
        <w:t xml:space="preserve"> (NBS) 07-12 </w:t>
      </w:r>
      <w:r w:rsidRPr="00287F12">
        <w:rPr>
          <w:rFonts w:ascii="Cambria" w:hAnsi="Cambria" w:cstheme="minorHAnsi"/>
          <w:sz w:val="22"/>
          <w:szCs w:val="22"/>
        </w:rPr>
        <w:t>sa zostaví za mesiac december 2024 a predloží sa</w:t>
      </w:r>
      <w:r w:rsidR="0046047D">
        <w:rPr>
          <w:rFonts w:ascii="Cambria" w:hAnsi="Cambria" w:cstheme="minorHAnsi"/>
          <w:sz w:val="22"/>
          <w:szCs w:val="22"/>
        </w:rPr>
        <w:t> </w:t>
      </w:r>
      <w:r w:rsidRPr="00287F12">
        <w:rPr>
          <w:rFonts w:ascii="Cambria" w:hAnsi="Cambria" w:cstheme="minorHAnsi"/>
          <w:sz w:val="22"/>
          <w:szCs w:val="22"/>
        </w:rPr>
        <w:t>do</w:t>
      </w:r>
      <w:r w:rsidR="0046047D">
        <w:rPr>
          <w:rFonts w:ascii="Cambria" w:hAnsi="Cambria" w:cstheme="minorHAnsi"/>
          <w:sz w:val="22"/>
          <w:szCs w:val="22"/>
        </w:rPr>
        <w:t> </w:t>
      </w:r>
      <w:r w:rsidRPr="00287F12">
        <w:rPr>
          <w:rFonts w:ascii="Cambria" w:hAnsi="Cambria" w:cstheme="minorHAnsi"/>
          <w:sz w:val="22"/>
          <w:szCs w:val="22"/>
        </w:rPr>
        <w:t>16.</w:t>
      </w:r>
      <w:r w:rsidR="0046047D">
        <w:rPr>
          <w:rFonts w:ascii="Cambria" w:hAnsi="Cambria" w:cstheme="minorHAnsi"/>
          <w:sz w:val="22"/>
          <w:szCs w:val="22"/>
        </w:rPr>
        <w:t> </w:t>
      </w:r>
      <w:r w:rsidRPr="00287F12">
        <w:rPr>
          <w:rFonts w:ascii="Cambria" w:hAnsi="Cambria" w:cstheme="minorHAnsi"/>
          <w:sz w:val="22"/>
          <w:szCs w:val="22"/>
        </w:rPr>
        <w:t xml:space="preserve">januára 2025 </w:t>
      </w:r>
      <w:r w:rsidRPr="00287F12">
        <w:rPr>
          <w:rFonts w:ascii="Cambria" w:hAnsi="Cambria"/>
          <w:sz w:val="22"/>
          <w:szCs w:val="22"/>
        </w:rPr>
        <w:t>podľa tohto opatrenia v znení účinnom do 31. decembra 2024</w:t>
      </w:r>
      <w:bookmarkEnd w:id="10"/>
      <w:r w:rsidRPr="00287F12">
        <w:rPr>
          <w:rFonts w:ascii="Cambria" w:hAnsi="Cambria" w:cstheme="minorHAnsi"/>
          <w:sz w:val="22"/>
          <w:szCs w:val="22"/>
        </w:rPr>
        <w:t>.“.</w:t>
      </w:r>
    </w:p>
    <w:bookmarkEnd w:id="7"/>
    <w:p w14:paraId="72FB7717" w14:textId="77777777" w:rsidR="00287F12" w:rsidRPr="00287F12" w:rsidRDefault="00287F12" w:rsidP="00287F12">
      <w:pPr>
        <w:ind w:firstLine="357"/>
        <w:jc w:val="both"/>
        <w:rPr>
          <w:rFonts w:ascii="Cambria" w:hAnsi="Cambria"/>
          <w:sz w:val="22"/>
          <w:szCs w:val="22"/>
        </w:rPr>
      </w:pPr>
    </w:p>
    <w:bookmarkEnd w:id="8"/>
    <w:p w14:paraId="3414A1B8" w14:textId="77777777" w:rsidR="00287F12" w:rsidRPr="00287F12" w:rsidRDefault="00287F12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V prílohe č. 3 vysvetlivky znejú:</w:t>
      </w:r>
    </w:p>
    <w:p w14:paraId="168CED22" w14:textId="77777777" w:rsidR="00287F12" w:rsidRPr="00287F12" w:rsidRDefault="00287F12" w:rsidP="00287F12">
      <w:pPr>
        <w:autoSpaceDE w:val="0"/>
        <w:autoSpaceDN w:val="0"/>
        <w:adjustRightInd w:val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3771EA4C" w14:textId="77777777" w:rsidR="00287F12" w:rsidRPr="0003721F" w:rsidRDefault="00287F12" w:rsidP="00287F12">
      <w:pPr>
        <w:keepNext/>
        <w:keepLines/>
        <w:widowControl w:val="0"/>
        <w:jc w:val="center"/>
        <w:rPr>
          <w:rFonts w:ascii="Cambria" w:hAnsi="Cambria"/>
          <w:b/>
          <w:color w:val="000000"/>
          <w:spacing w:val="5"/>
          <w:sz w:val="22"/>
          <w:szCs w:val="22"/>
        </w:rPr>
      </w:pPr>
      <w:r w:rsidRPr="0046047D">
        <w:rPr>
          <w:rFonts w:ascii="Cambria" w:hAnsi="Cambria"/>
          <w:bCs/>
          <w:color w:val="000000"/>
          <w:spacing w:val="5"/>
          <w:sz w:val="22"/>
          <w:szCs w:val="22"/>
        </w:rPr>
        <w:t>„</w:t>
      </w:r>
      <w:bookmarkStart w:id="12" w:name="_Hlk148366447"/>
      <w:r w:rsidRPr="0003721F">
        <w:rPr>
          <w:rFonts w:ascii="Cambria" w:hAnsi="Cambria"/>
          <w:b/>
          <w:color w:val="000000"/>
          <w:spacing w:val="5"/>
          <w:sz w:val="22"/>
          <w:szCs w:val="22"/>
        </w:rPr>
        <w:t xml:space="preserve">Vysvetlivky na vypracúvanie výkazu </w:t>
      </w:r>
      <w:proofErr w:type="spellStart"/>
      <w:r w:rsidRPr="0003721F">
        <w:rPr>
          <w:rFonts w:ascii="Cambria" w:hAnsi="Cambria"/>
          <w:b/>
          <w:color w:val="000000"/>
          <w:spacing w:val="5"/>
          <w:sz w:val="22"/>
          <w:szCs w:val="22"/>
        </w:rPr>
        <w:t>Mk</w:t>
      </w:r>
      <w:proofErr w:type="spellEnd"/>
      <w:r w:rsidRPr="0003721F">
        <w:rPr>
          <w:rFonts w:ascii="Cambria" w:hAnsi="Cambria"/>
          <w:b/>
          <w:color w:val="000000"/>
          <w:spacing w:val="5"/>
          <w:sz w:val="22"/>
          <w:szCs w:val="22"/>
        </w:rPr>
        <w:t xml:space="preserve"> (NBS) 02 – 12</w:t>
      </w:r>
    </w:p>
    <w:p w14:paraId="28364140" w14:textId="77777777" w:rsidR="00287F12" w:rsidRPr="00287F12" w:rsidRDefault="00287F12" w:rsidP="00287F12">
      <w:pPr>
        <w:jc w:val="both"/>
        <w:rPr>
          <w:rFonts w:ascii="Cambria" w:hAnsi="Cambria"/>
          <w:color w:val="000000"/>
          <w:spacing w:val="5"/>
          <w:sz w:val="22"/>
          <w:szCs w:val="22"/>
        </w:rPr>
      </w:pPr>
    </w:p>
    <w:p w14:paraId="4471ED58" w14:textId="77777777" w:rsidR="00287F12" w:rsidRPr="00287F12" w:rsidRDefault="00287F12">
      <w:pPr>
        <w:numPr>
          <w:ilvl w:val="3"/>
          <w:numId w:val="18"/>
        </w:numPr>
        <w:tabs>
          <w:tab w:val="left" w:pos="851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bookmarkStart w:id="13" w:name="_Hlk148364107"/>
      <w:r w:rsidRPr="00287F12">
        <w:rPr>
          <w:rFonts w:ascii="Cambria" w:hAnsi="Cambria"/>
          <w:color w:val="000000"/>
          <w:sz w:val="22"/>
          <w:szCs w:val="22"/>
          <w:lang w:eastAsia="sk-SK"/>
        </w:rPr>
        <w:t>V záhlaví v ľavom rohu sa za slovom „Banka:“ uvádza obchodné meno banky alebo pobočky zahraničnej banky.</w:t>
      </w:r>
      <w:r w:rsidRPr="00287F12">
        <w:rPr>
          <w:rFonts w:ascii="Cambria" w:hAnsi="Cambria"/>
          <w:sz w:val="22"/>
          <w:szCs w:val="22"/>
          <w:lang w:eastAsia="sk-SK"/>
        </w:rPr>
        <w:t xml:space="preserve"> </w:t>
      </w:r>
    </w:p>
    <w:p w14:paraId="57199170" w14:textId="4EC9CBE0" w:rsidR="00287F12" w:rsidRPr="005F3A60" w:rsidRDefault="00287F12">
      <w:pPr>
        <w:numPr>
          <w:ilvl w:val="3"/>
          <w:numId w:val="18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bookmarkStart w:id="14" w:name="_Hlk65523077"/>
      <w:r w:rsidRPr="005F3A60">
        <w:rPr>
          <w:rFonts w:ascii="Cambria" w:hAnsi="Cambria"/>
          <w:sz w:val="22"/>
          <w:szCs w:val="22"/>
          <w:lang w:eastAsia="sk-SK"/>
        </w:rPr>
        <w:t xml:space="preserve">Peňažné hodnoty sa uvádzajú v eurách zaokrúhlené na dve desatinné miesta. Peňažné hodnoty v cudzích menách sa prepočítajú na eurá referenčným výmenným kurzom určeným a vyhláseným Európskou centrálnou bankou alebo Národnou bankou Slovenska platným ku dňu, </w:t>
      </w:r>
      <w:bookmarkStart w:id="15" w:name="_Hlk151627504"/>
      <w:r w:rsidRPr="005F3A60">
        <w:rPr>
          <w:rFonts w:ascii="Cambria" w:hAnsi="Cambria"/>
          <w:sz w:val="22"/>
          <w:szCs w:val="22"/>
          <w:lang w:eastAsia="sk-SK"/>
        </w:rPr>
        <w:t>ku ktorému sa zostavuje výkaz</w:t>
      </w:r>
      <w:bookmarkEnd w:id="15"/>
      <w:r w:rsidRPr="005F3A60">
        <w:rPr>
          <w:rFonts w:ascii="Cambria" w:hAnsi="Cambria"/>
          <w:sz w:val="22"/>
          <w:szCs w:val="22"/>
          <w:lang w:eastAsia="sk-SK"/>
        </w:rPr>
        <w:t xml:space="preserve">. </w:t>
      </w:r>
      <w:bookmarkEnd w:id="14"/>
    </w:p>
    <w:p w14:paraId="0AED6C4D" w14:textId="6A9F8DC8" w:rsidR="00287F12" w:rsidRPr="00287F12" w:rsidRDefault="00287F12">
      <w:pPr>
        <w:numPr>
          <w:ilvl w:val="3"/>
          <w:numId w:val="18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Dohodnutá priemerná úroková miera a ročná percentuálna miera nákladov sa uvádzajú v</w:t>
      </w:r>
      <w:r w:rsidR="005F3A60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 xml:space="preserve">percentách zaokrúhlené na štyri desatinné miesta. </w:t>
      </w:r>
    </w:p>
    <w:p w14:paraId="51608E0E" w14:textId="77777777" w:rsidR="00287F12" w:rsidRPr="00287F12" w:rsidRDefault="00287F12" w:rsidP="00287F12">
      <w:pPr>
        <w:ind w:left="567" w:hanging="567"/>
        <w:jc w:val="both"/>
        <w:rPr>
          <w:rFonts w:ascii="Cambria" w:hAnsi="Cambria"/>
          <w:sz w:val="22"/>
          <w:szCs w:val="22"/>
          <w:lang w:eastAsia="sk-SK"/>
        </w:rPr>
      </w:pPr>
    </w:p>
    <w:p w14:paraId="00367EE4" w14:textId="77777777" w:rsidR="00287F12" w:rsidRPr="00287F12" w:rsidRDefault="00287F12">
      <w:pPr>
        <w:numPr>
          <w:ilvl w:val="3"/>
          <w:numId w:val="18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bookmarkStart w:id="16" w:name="_Hlk67672363"/>
      <w:r w:rsidRPr="00287F12">
        <w:rPr>
          <w:rFonts w:ascii="Cambria" w:hAnsi="Cambria"/>
          <w:sz w:val="22"/>
          <w:szCs w:val="22"/>
          <w:lang w:eastAsia="sk-SK"/>
        </w:rPr>
        <w:lastRenderedPageBreak/>
        <w:t>Protistranou sa rozumie druhá zmluvná strana príslušného úveru (dlžník).</w:t>
      </w:r>
    </w:p>
    <w:bookmarkEnd w:id="16"/>
    <w:p w14:paraId="54B49A9C" w14:textId="77777777" w:rsidR="00287F12" w:rsidRPr="00287F12" w:rsidRDefault="00287F12">
      <w:pPr>
        <w:numPr>
          <w:ilvl w:val="3"/>
          <w:numId w:val="18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 xml:space="preserve">Protistranou transakcie sa rozumie druhá zmluvná strana sekuritizácie alebo iného prevodu úveru.  </w:t>
      </w:r>
    </w:p>
    <w:p w14:paraId="2F9C2372" w14:textId="77777777" w:rsidR="00287F12" w:rsidRPr="00287F12" w:rsidRDefault="00287F12" w:rsidP="00287F12">
      <w:pPr>
        <w:jc w:val="both"/>
        <w:rPr>
          <w:rFonts w:ascii="Cambria" w:hAnsi="Cambria"/>
          <w:sz w:val="22"/>
          <w:szCs w:val="22"/>
          <w:lang w:eastAsia="sk-SK"/>
        </w:rPr>
      </w:pPr>
    </w:p>
    <w:p w14:paraId="14089EEA" w14:textId="77777777" w:rsidR="00287F12" w:rsidRPr="00287F12" w:rsidRDefault="00287F12" w:rsidP="001248B7">
      <w:pPr>
        <w:ind w:left="709" w:hanging="284"/>
        <w:jc w:val="both"/>
        <w:rPr>
          <w:rFonts w:ascii="Cambria" w:hAnsi="Cambria"/>
          <w:b/>
          <w:sz w:val="22"/>
          <w:szCs w:val="22"/>
          <w:u w:val="single"/>
        </w:rPr>
      </w:pPr>
      <w:r w:rsidRPr="00287F12">
        <w:rPr>
          <w:rFonts w:ascii="Cambria" w:hAnsi="Cambria"/>
          <w:b/>
          <w:sz w:val="22"/>
          <w:szCs w:val="22"/>
          <w:u w:val="single"/>
        </w:rPr>
        <w:t>Časť s názvom „Pohľadávky z úverov“</w:t>
      </w:r>
    </w:p>
    <w:p w14:paraId="29C529F6" w14:textId="77777777" w:rsidR="00287F12" w:rsidRPr="00287F12" w:rsidRDefault="00287F12" w:rsidP="003F75E2">
      <w:pPr>
        <w:ind w:left="709"/>
        <w:jc w:val="both"/>
        <w:rPr>
          <w:rFonts w:ascii="Cambria" w:hAnsi="Cambria"/>
          <w:sz w:val="22"/>
          <w:szCs w:val="22"/>
          <w:lang w:eastAsia="sk-SK"/>
        </w:rPr>
      </w:pPr>
    </w:p>
    <w:p w14:paraId="0BE789A1" w14:textId="77777777" w:rsidR="00287F12" w:rsidRPr="00287F12" w:rsidRDefault="00287F12">
      <w:pPr>
        <w:numPr>
          <w:ilvl w:val="0"/>
          <w:numId w:val="19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</w:t>
      </w:r>
      <w:bookmarkStart w:id="17" w:name="_Hlk65685878"/>
      <w:r w:rsidRPr="00287F12">
        <w:rPr>
          <w:rFonts w:ascii="Cambria" w:hAnsi="Cambria"/>
          <w:sz w:val="22"/>
          <w:szCs w:val="22"/>
          <w:lang w:eastAsia="sk-SK"/>
        </w:rPr>
        <w:t>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Ekonomická položka</w:t>
      </w:r>
      <w:r w:rsidRPr="00287F12">
        <w:rPr>
          <w:rFonts w:ascii="Cambria" w:hAnsi="Cambria"/>
          <w:sz w:val="22"/>
          <w:szCs w:val="22"/>
          <w:lang w:eastAsia="sk-SK"/>
        </w:rPr>
        <w:t>“ sa uvádza kód ekonomickej položky, ktorá je považovaná za pohľadávku z úveru</w:t>
      </w:r>
      <w:r w:rsidRPr="00287F12">
        <w:rPr>
          <w:rFonts w:ascii="Cambria" w:hAnsi="Cambria"/>
          <w:bCs/>
          <w:sz w:val="22"/>
          <w:szCs w:val="22"/>
          <w:lang w:eastAsia="sk-SK"/>
        </w:rPr>
        <w:t>. K</w:t>
      </w:r>
      <w:r w:rsidRPr="00287F12">
        <w:rPr>
          <w:rFonts w:ascii="Cambria" w:hAnsi="Cambria"/>
          <w:sz w:val="22"/>
          <w:szCs w:val="22"/>
          <w:lang w:eastAsia="sk-SK"/>
        </w:rPr>
        <w:t xml:space="preserve">ód sa vyberá zo zoznamu prípustných kódov zoskupenia v IS ŠZP „CK065mk_02_1“. </w:t>
      </w:r>
    </w:p>
    <w:p w14:paraId="6D55BE9A" w14:textId="77777777" w:rsidR="00287F12" w:rsidRPr="00287F12" w:rsidRDefault="00287F12">
      <w:pPr>
        <w:numPr>
          <w:ilvl w:val="0"/>
          <w:numId w:val="19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Druh ekonomickej položky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kód, ktorý sa vyberá zo zoznamu prípustných kódov zoskupenia v IS ŠZP „CK066mk_02_1“. </w:t>
      </w:r>
    </w:p>
    <w:p w14:paraId="35938575" w14:textId="78EDE331" w:rsidR="00287F12" w:rsidRPr="00287F12" w:rsidRDefault="00287F12">
      <w:pPr>
        <w:numPr>
          <w:ilvl w:val="0"/>
          <w:numId w:val="19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Právny rámec úveru</w:t>
      </w:r>
      <w:r w:rsidRPr="00287F12">
        <w:rPr>
          <w:rFonts w:ascii="Cambria" w:hAnsi="Cambria"/>
          <w:sz w:val="22"/>
          <w:szCs w:val="22"/>
          <w:lang w:eastAsia="sk-SK"/>
        </w:rPr>
        <w:t>“ sa uvádza kód právneho predpisu, podľa ktorého bol</w:t>
      </w:r>
      <w:r w:rsidR="003F75E2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poskytnutý úver; príslušný kód sa vyberá zo zoznamu prípustných kódov zoskupenia v</w:t>
      </w:r>
      <w:r w:rsidR="003F75E2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 xml:space="preserve">IS ŠZP „CK196mk_02_1“. </w:t>
      </w:r>
    </w:p>
    <w:p w14:paraId="2BCB331E" w14:textId="0AAD26DF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bookmarkStart w:id="18" w:name="_Hlk67578148"/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Účel úveru</w:t>
      </w:r>
      <w:r w:rsidRPr="00287F12">
        <w:rPr>
          <w:rFonts w:ascii="Cambria" w:hAnsi="Cambria"/>
          <w:sz w:val="22"/>
          <w:szCs w:val="22"/>
          <w:lang w:eastAsia="sk-SK"/>
        </w:rPr>
        <w:t>“ sa uvádza účel použitia úveru; kód príslušného účelu sa vyberá zo</w:t>
      </w:r>
      <w:r w:rsidR="003F75E2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zoznamu prípustných kódov zoskupenia v IS ŠZP „CK173mk_02_1“.</w:t>
      </w:r>
    </w:p>
    <w:bookmarkEnd w:id="18"/>
    <w:p w14:paraId="75F1FBC3" w14:textId="775921DC" w:rsidR="00287F12" w:rsidRPr="00287F12" w:rsidRDefault="00287F12">
      <w:pPr>
        <w:numPr>
          <w:ilvl w:val="0"/>
          <w:numId w:val="19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bCs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Syndikát</w:t>
      </w:r>
      <w:r w:rsidRPr="00287F12">
        <w:rPr>
          <w:rFonts w:ascii="Cambria" w:hAnsi="Cambria"/>
          <w:bCs/>
          <w:sz w:val="22"/>
          <w:szCs w:val="22"/>
          <w:lang w:eastAsia="sk-SK"/>
        </w:rPr>
        <w:t>“ sa uvádza</w:t>
      </w:r>
      <w:r w:rsidRPr="00287F12">
        <w:rPr>
          <w:rFonts w:ascii="Cambria" w:hAnsi="Cambria"/>
          <w:sz w:val="22"/>
          <w:szCs w:val="22"/>
          <w:lang w:eastAsia="sk-SK"/>
        </w:rPr>
        <w:t xml:space="preserve"> 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„A“ (áno), ak úver je považovaný za </w:t>
      </w:r>
      <w:proofErr w:type="spellStart"/>
      <w:r w:rsidRPr="00287F12">
        <w:rPr>
          <w:rFonts w:ascii="Cambria" w:hAnsi="Cambria"/>
          <w:bCs/>
          <w:sz w:val="22"/>
          <w:szCs w:val="22"/>
          <w:lang w:eastAsia="sk-SK"/>
        </w:rPr>
        <w:t>syndikovaný</w:t>
      </w:r>
      <w:proofErr w:type="spellEnd"/>
      <w:r w:rsidRPr="00287F12">
        <w:rPr>
          <w:rFonts w:ascii="Cambria" w:hAnsi="Cambria"/>
          <w:bCs/>
          <w:sz w:val="22"/>
          <w:szCs w:val="22"/>
          <w:lang w:eastAsia="sk-SK"/>
        </w:rPr>
        <w:t xml:space="preserve"> úver,</w:t>
      </w:r>
      <w:r w:rsidR="003F75E2">
        <w:rPr>
          <w:rFonts w:ascii="Cambria" w:hAnsi="Cambria"/>
          <w:bCs/>
          <w:sz w:val="22"/>
          <w:szCs w:val="22"/>
          <w:lang w:eastAsia="sk-SK"/>
        </w:rPr>
        <w:t xml:space="preserve"> </w:t>
      </w:r>
      <w:r w:rsidRPr="00287F12">
        <w:rPr>
          <w:rFonts w:ascii="Cambria" w:hAnsi="Cambria"/>
          <w:bCs/>
          <w:sz w:val="22"/>
          <w:szCs w:val="22"/>
          <w:lang w:eastAsia="sk-SK"/>
        </w:rPr>
        <w:t>inak sa</w:t>
      </w:r>
      <w:r w:rsidR="003F75E2">
        <w:rPr>
          <w:rFonts w:ascii="Cambria" w:hAnsi="Cambria"/>
          <w:bCs/>
          <w:sz w:val="22"/>
          <w:szCs w:val="22"/>
          <w:lang w:eastAsia="sk-SK"/>
        </w:rPr>
        <w:t> </w:t>
      </w:r>
      <w:r w:rsidRPr="00287F12">
        <w:rPr>
          <w:rFonts w:ascii="Cambria" w:hAnsi="Cambria"/>
          <w:bCs/>
          <w:sz w:val="22"/>
          <w:szCs w:val="22"/>
          <w:lang w:eastAsia="sk-SK"/>
        </w:rPr>
        <w:t>uvádza „N“ (nie</w:t>
      </w:r>
      <w:bookmarkStart w:id="19" w:name="_Hlk65605255"/>
      <w:r w:rsidRPr="00287F12">
        <w:rPr>
          <w:rFonts w:ascii="Cambria" w:hAnsi="Cambria"/>
          <w:bCs/>
          <w:sz w:val="22"/>
          <w:szCs w:val="22"/>
          <w:lang w:eastAsia="sk-SK"/>
        </w:rPr>
        <w:t xml:space="preserve">). Kód sa vyberá zo zoznamu prípustných kódov zoskupenia v IS ŠZP „CK001MFS“. </w:t>
      </w:r>
    </w:p>
    <w:bookmarkEnd w:id="19"/>
    <w:p w14:paraId="43EEC254" w14:textId="194EFED5" w:rsidR="00287F12" w:rsidRPr="00287F12" w:rsidRDefault="00287F12">
      <w:pPr>
        <w:numPr>
          <w:ilvl w:val="0"/>
          <w:numId w:val="19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Mena pôvodná</w:t>
      </w:r>
      <w:r w:rsidRPr="00287F12">
        <w:rPr>
          <w:rFonts w:ascii="Cambria" w:hAnsi="Cambria"/>
          <w:sz w:val="22"/>
          <w:szCs w:val="22"/>
          <w:lang w:eastAsia="sk-SK"/>
        </w:rPr>
        <w:t>“ sa uvádza kód meny, v ktorej je úver denominovaný; kód meny sa</w:t>
      </w:r>
      <w:r w:rsidR="003F75E2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 xml:space="preserve">uvádza podľa medzinárodných štandardov ISO 4217 a vyberá sa zo zoznamu prípustných kódov zoskupenia v IS ŠZP „MENY“. 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 </w:t>
      </w:r>
    </w:p>
    <w:p w14:paraId="157D01A7" w14:textId="77777777" w:rsidR="00287F12" w:rsidRPr="00287F12" w:rsidRDefault="00287F12">
      <w:pPr>
        <w:numPr>
          <w:ilvl w:val="0"/>
          <w:numId w:val="19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Krajina protistrany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</w:t>
      </w:r>
      <w:bookmarkStart w:id="20" w:name="_Hlk65603937"/>
      <w:r w:rsidRPr="00287F12">
        <w:rPr>
          <w:rFonts w:ascii="Cambria" w:hAnsi="Cambria"/>
          <w:sz w:val="22"/>
          <w:szCs w:val="22"/>
          <w:lang w:eastAsia="sk-SK"/>
        </w:rPr>
        <w:t>krajina, ktorá je centrom hlavného ekonomického záujmu protistrany</w:t>
      </w:r>
      <w:bookmarkEnd w:id="20"/>
      <w:r w:rsidRPr="00287F12">
        <w:rPr>
          <w:rFonts w:ascii="Cambria" w:hAnsi="Cambria"/>
          <w:sz w:val="22"/>
          <w:szCs w:val="22"/>
          <w:lang w:eastAsia="sk-SK"/>
        </w:rPr>
        <w:t>; kód príslušnej krajiny sa vyberá zo zoznamu prípustných kódov zoskupenia v IS ŠZP „KRAJNER_SK“.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 </w:t>
      </w:r>
    </w:p>
    <w:p w14:paraId="7C05F86D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Sektor protistrany</w:t>
      </w:r>
      <w:r w:rsidRPr="00287F12">
        <w:rPr>
          <w:rFonts w:ascii="Cambria" w:hAnsi="Cambria"/>
          <w:sz w:val="22"/>
          <w:szCs w:val="22"/>
          <w:lang w:eastAsia="sk-SK"/>
        </w:rPr>
        <w:t>“ sa uvádza inštitucionálny sektor protistrany podľa osobitného predpisu</w:t>
      </w:r>
      <w:bookmarkStart w:id="21" w:name="_Hlk65746019"/>
      <w:r w:rsidRPr="00287F12">
        <w:rPr>
          <w:rFonts w:ascii="Cambria" w:hAnsi="Cambria" w:cs="Calibri"/>
          <w:sz w:val="22"/>
          <w:szCs w:val="22"/>
          <w:lang w:eastAsia="sk-SK"/>
        </w:rPr>
        <w:t>;</w:t>
      </w:r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footnoteReference w:customMarkFollows="1" w:id="1"/>
        <w:t>1</w:t>
      </w:r>
      <w:r w:rsidRPr="00287F12">
        <w:rPr>
          <w:rFonts w:ascii="Cambria" w:hAnsi="Cambria"/>
          <w:sz w:val="22"/>
          <w:szCs w:val="22"/>
          <w:lang w:eastAsia="sk-SK"/>
        </w:rPr>
        <w:t>)</w:t>
      </w:r>
      <w:bookmarkEnd w:id="21"/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t xml:space="preserve"> </w:t>
      </w:r>
      <w:r w:rsidRPr="00287F12">
        <w:rPr>
          <w:rFonts w:ascii="Cambria" w:hAnsi="Cambria"/>
          <w:sz w:val="22"/>
          <w:szCs w:val="22"/>
          <w:lang w:eastAsia="sk-SK"/>
        </w:rPr>
        <w:t>kód príslušného sektora sa vyberá zo zoznamu prípustných kódov zoskupenia v IS ŠZP „CK040mk_02_1“.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 </w:t>
      </w:r>
    </w:p>
    <w:p w14:paraId="1E5638F3" w14:textId="77777777" w:rsidR="00287F12" w:rsidRPr="00287F12" w:rsidRDefault="00287F12">
      <w:pPr>
        <w:numPr>
          <w:ilvl w:val="0"/>
          <w:numId w:val="19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Sektor kontrola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klasifikácia sektora protistrany podľa kontroly; kód príslušnej kontroly sa vyberá zo zoznamu prípustných kódov zoskupenia v IS ŠZP „CK171SW3K“. </w:t>
      </w:r>
    </w:p>
    <w:bookmarkEnd w:id="17"/>
    <w:p w14:paraId="0898506F" w14:textId="77777777" w:rsidR="00287F12" w:rsidRPr="00287F12" w:rsidRDefault="00287F12">
      <w:pPr>
        <w:numPr>
          <w:ilvl w:val="0"/>
          <w:numId w:val="19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Veľkosť subjektu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klasifikácia veľkosti subjektu–protistrany podľa klasifikácie Európskej Komisie pre </w:t>
      </w:r>
      <w:proofErr w:type="spellStart"/>
      <w:r w:rsidRPr="00287F12">
        <w:rPr>
          <w:rFonts w:ascii="Cambria" w:hAnsi="Cambria"/>
          <w:sz w:val="22"/>
          <w:szCs w:val="22"/>
          <w:lang w:eastAsia="sk-SK"/>
        </w:rPr>
        <w:t>mikropodniky</w:t>
      </w:r>
      <w:proofErr w:type="spellEnd"/>
      <w:r w:rsidRPr="00287F12">
        <w:rPr>
          <w:rFonts w:ascii="Cambria" w:hAnsi="Cambria"/>
          <w:sz w:val="22"/>
          <w:szCs w:val="22"/>
          <w:lang w:eastAsia="sk-SK"/>
        </w:rPr>
        <w:t xml:space="preserve"> a malé a stredné podniky</w:t>
      </w:r>
      <w:r w:rsidRPr="00287F12">
        <w:rPr>
          <w:rFonts w:ascii="Cambria" w:hAnsi="Cambria" w:cs="Calibri"/>
          <w:sz w:val="22"/>
          <w:szCs w:val="22"/>
          <w:lang w:eastAsia="sk-SK"/>
        </w:rPr>
        <w:t>;</w:t>
      </w:r>
      <w:r w:rsidRPr="00287F12">
        <w:rPr>
          <w:rFonts w:ascii="Cambria" w:hAnsi="Cambria"/>
          <w:sz w:val="22"/>
          <w:szCs w:val="22"/>
          <w:lang w:eastAsia="sk-SK"/>
        </w:rPr>
        <w:t xml:space="preserve"> kód príslušnej veľkosti subjektu sa vyberá zo zoznamu prípustných kódov zoskupenia v IS ŠZP „CK170SPV“. </w:t>
      </w:r>
    </w:p>
    <w:p w14:paraId="3279F6C0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Pôsobnosť subjektu</w:t>
      </w:r>
      <w:r w:rsidRPr="00287F12">
        <w:rPr>
          <w:rFonts w:ascii="Cambria" w:hAnsi="Cambria"/>
          <w:sz w:val="22"/>
          <w:szCs w:val="22"/>
          <w:lang w:eastAsia="sk-SK"/>
        </w:rPr>
        <w:t>“ sa uvádza klasifikácia subjektu–protistrany podľa pôsobnosti z hľadiska svetového trhu; k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ód sa vyberá zo zoznamu prípustných kódov zoskupenia v IS ŠZP „CK195MNE“. </w:t>
      </w:r>
    </w:p>
    <w:p w14:paraId="596B077F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 xml:space="preserve"> </w:t>
      </w:r>
      <w:r w:rsidRPr="00287F12">
        <w:rPr>
          <w:rFonts w:ascii="Cambria" w:hAnsi="Cambria"/>
          <w:sz w:val="22"/>
          <w:szCs w:val="22"/>
          <w:lang w:eastAsia="sk-SK"/>
        </w:rPr>
        <w:t>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Vlastná finančná skupina</w:t>
      </w:r>
      <w:r w:rsidRPr="00287F12">
        <w:rPr>
          <w:rFonts w:ascii="Cambria" w:hAnsi="Cambria"/>
          <w:sz w:val="22"/>
          <w:szCs w:val="22"/>
          <w:lang w:eastAsia="sk-SK"/>
        </w:rPr>
        <w:t>“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 xml:space="preserve"> </w:t>
      </w:r>
      <w:r w:rsidRPr="00287F12">
        <w:rPr>
          <w:rFonts w:ascii="Cambria" w:hAnsi="Cambria"/>
          <w:sz w:val="22"/>
          <w:szCs w:val="22"/>
          <w:lang w:eastAsia="sk-SK"/>
        </w:rPr>
        <w:t>sa uvádza „A“ (áno), ak protistrana patrí do vlastnej finančnej skupiny, inak sa uvádza „N“ (nie)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. Kód sa vyberá zo zoznamu prípustných kódov zoskupenia v IS ŠZP „CK001MFS“. </w:t>
      </w:r>
    </w:p>
    <w:p w14:paraId="2651A29C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contextualSpacing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SK NACE</w:t>
      </w:r>
      <w:r w:rsidRPr="00287F12">
        <w:rPr>
          <w:rFonts w:ascii="Cambria" w:hAnsi="Cambria"/>
          <w:sz w:val="22"/>
          <w:szCs w:val="22"/>
          <w:lang w:eastAsia="sk-SK"/>
        </w:rPr>
        <w:t>“ sa uvádza štatistická klasifikácia ekonomickej činnosti protistrany podľa osobitného predpisu</w:t>
      </w:r>
      <w:r w:rsidRPr="00287F12">
        <w:rPr>
          <w:rFonts w:ascii="Cambria" w:hAnsi="Cambria" w:cs="Calibri"/>
          <w:sz w:val="22"/>
          <w:szCs w:val="22"/>
          <w:lang w:eastAsia="sk-SK"/>
        </w:rPr>
        <w:t>;</w:t>
      </w:r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footnoteReference w:customMarkFollows="1" w:id="2"/>
        <w:t>2</w:t>
      </w:r>
      <w:r w:rsidRPr="00287F12">
        <w:rPr>
          <w:rFonts w:ascii="Cambria" w:hAnsi="Cambria"/>
          <w:sz w:val="22"/>
          <w:szCs w:val="22"/>
          <w:lang w:eastAsia="sk-SK"/>
        </w:rPr>
        <w:t xml:space="preserve">) kód príslušnej ekonomickej činnosti sa vyberá zo zoznamu prípustných kódov zoskupenia v IS ŠZP „CK034SOK2“. </w:t>
      </w:r>
    </w:p>
    <w:p w14:paraId="24D80E85" w14:textId="77777777" w:rsidR="00287F12" w:rsidRPr="00287F12" w:rsidRDefault="00287F12" w:rsidP="009E5A7B">
      <w:pPr>
        <w:ind w:left="851" w:hanging="425"/>
        <w:contextualSpacing/>
        <w:rPr>
          <w:rFonts w:ascii="Cambria" w:hAnsi="Cambria"/>
          <w:sz w:val="22"/>
          <w:szCs w:val="22"/>
          <w:lang w:eastAsia="sk-SK"/>
        </w:rPr>
      </w:pPr>
    </w:p>
    <w:p w14:paraId="0FB1C19C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contextualSpacing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lastRenderedPageBreak/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Pôvodná splatnosť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zmluvná doba splatnosti úveru; kód príslušnej zmluvnej doby splatnosti sa vyberá zo zoznamu prípustných kódov zoskupenia v IS ŠZP „CK032mk_02_1_MO“. </w:t>
      </w:r>
    </w:p>
    <w:p w14:paraId="628BE9F0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contextualSpacing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Zostatková splatnosť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zostatková doba splatnosti úveru; kód príslušnej zostatkovej doby splatnosti sa vyberá zo zoznamu prípustných kódov zoskupenia v IS ŠZP „CK032mk_02_1_MZ“. </w:t>
      </w:r>
    </w:p>
    <w:p w14:paraId="3C8C3DC4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contextualSpacing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Platnosť úrokovej sadzby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čas zostávajúci do najbližšej zmeny úrokovej sadzby; kód príslušnej platnosti úrokovej sadzby sa vyberá zo zoznamu prípustných kódov zoskupenia v IS ŠZP „CK050mk_02_1“. </w:t>
      </w:r>
    </w:p>
    <w:p w14:paraId="55983F4D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contextualSpacing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Úroková sadzba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</w:t>
      </w:r>
      <w:bookmarkStart w:id="22" w:name="_Hlk65681312"/>
      <w:r w:rsidRPr="00287F12">
        <w:rPr>
          <w:rFonts w:ascii="Cambria" w:hAnsi="Cambria"/>
          <w:sz w:val="22"/>
          <w:szCs w:val="22"/>
          <w:lang w:eastAsia="sk-SK"/>
        </w:rPr>
        <w:t xml:space="preserve">typ úrokovej sadzby; kód príslušnej úrokovej sadzby sa vyberá zo zoznamu prípustných kódov zoskupenia v IS ŠZP </w:t>
      </w:r>
      <w:bookmarkEnd w:id="22"/>
      <w:r w:rsidRPr="00287F12">
        <w:rPr>
          <w:rFonts w:ascii="Cambria" w:hAnsi="Cambria"/>
          <w:sz w:val="22"/>
          <w:szCs w:val="22"/>
          <w:lang w:eastAsia="sk-SK"/>
        </w:rPr>
        <w:t xml:space="preserve">„CK031mk_02_1“. </w:t>
      </w:r>
    </w:p>
    <w:p w14:paraId="31FF3A9C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contextualSpacing/>
        <w:jc w:val="both"/>
        <w:rPr>
          <w:rFonts w:ascii="Cambria" w:hAnsi="Cambria"/>
          <w:sz w:val="22"/>
          <w:szCs w:val="22"/>
          <w:lang w:eastAsia="sk-SK"/>
        </w:rPr>
      </w:pPr>
      <w:bookmarkStart w:id="23" w:name="_Hlk67578269"/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Kvalita majetku</w:t>
      </w:r>
      <w:r w:rsidRPr="00287F12">
        <w:rPr>
          <w:rFonts w:ascii="Cambria" w:hAnsi="Cambria"/>
          <w:sz w:val="22"/>
          <w:szCs w:val="22"/>
          <w:lang w:eastAsia="sk-SK"/>
        </w:rPr>
        <w:t>“ sa uvádza „ZLY“ (zlyhaný), ak je úver považovaný za zlyhaný podľa osobitného predpisu</w:t>
      </w:r>
      <w:bookmarkStart w:id="24" w:name="_Ref58231534"/>
      <w:r w:rsidRPr="00287F12">
        <w:rPr>
          <w:rFonts w:ascii="Cambria" w:hAnsi="Cambria"/>
          <w:sz w:val="22"/>
          <w:szCs w:val="22"/>
          <w:lang w:eastAsia="sk-SK"/>
        </w:rPr>
        <w:t>,</w:t>
      </w:r>
      <w:bookmarkStart w:id="25" w:name="_Ref142379073"/>
      <w:bookmarkEnd w:id="24"/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footnoteReference w:customMarkFollows="1" w:id="3"/>
        <w:t>3</w:t>
      </w:r>
      <w:bookmarkEnd w:id="25"/>
      <w:r w:rsidRPr="00287F12">
        <w:rPr>
          <w:rFonts w:ascii="Cambria" w:hAnsi="Cambria"/>
          <w:sz w:val="22"/>
          <w:szCs w:val="22"/>
          <w:lang w:eastAsia="sk-SK"/>
        </w:rPr>
        <w:t xml:space="preserve">) inak sa uvádza „NZL“ (nezlyhaný). Kód sa vyberá zo zoznamu prípustných kódov zoskupenia IS ŠZP „CK051mk_02_1“. </w:t>
      </w:r>
    </w:p>
    <w:p w14:paraId="4ACBE9E7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contextualSpacing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Zabezpečenie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spôsob zabezpečenia úveru; kód príslušného zabezpečenia sa vyberá zo zoznamu prípustných kódov zoskupenia v IS ŠZP „CK030mk_02_1“. </w:t>
      </w:r>
    </w:p>
    <w:bookmarkEnd w:id="23"/>
    <w:p w14:paraId="23DD8864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Istina – Stav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zostatková výška istiny úveru, úrokov po lehote splatnosti a poplatkov po lehote splatnosti ku dňu vykazovania, neznížených o opravné položky. </w:t>
      </w:r>
    </w:p>
    <w:p w14:paraId="41AB278E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bookmarkStart w:id="26" w:name="_Hlk72501416"/>
      <w:bookmarkStart w:id="27" w:name="_Hlk65686039"/>
      <w:r w:rsidRPr="00287F12">
        <w:rPr>
          <w:rFonts w:ascii="Cambria" w:hAnsi="Cambria"/>
          <w:color w:val="000000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Istina – Precenenie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“ sa uvádza </w:t>
      </w:r>
    </w:p>
    <w:p w14:paraId="5E195138" w14:textId="77777777" w:rsidR="00287F12" w:rsidRPr="00287F12" w:rsidRDefault="00287F12">
      <w:pPr>
        <w:numPr>
          <w:ilvl w:val="0"/>
          <w:numId w:val="20"/>
        </w:numPr>
        <w:ind w:left="1276" w:hanging="425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hodnota odpísaného úveru, prípadne čiastočne odpísaného úveru; vykazuje sa trvalé odpísanie, </w:t>
      </w:r>
    </w:p>
    <w:p w14:paraId="0C4DBAFF" w14:textId="77777777" w:rsidR="00287F12" w:rsidRPr="00287F12" w:rsidRDefault="00287F12" w:rsidP="00666F6D">
      <w:pPr>
        <w:ind w:left="1276" w:hanging="425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ab/>
        <w:t>nie dočasné zníženie hodnoty formou tvorby opravných položiek,</w:t>
      </w:r>
    </w:p>
    <w:p w14:paraId="1D0B8076" w14:textId="77777777" w:rsidR="00287F12" w:rsidRPr="00287F12" w:rsidRDefault="00287F12">
      <w:pPr>
        <w:numPr>
          <w:ilvl w:val="0"/>
          <w:numId w:val="20"/>
        </w:numPr>
        <w:ind w:left="1276" w:hanging="425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rozdiel medzi zostatkovou výškou istiny </w:t>
      </w:r>
      <w:proofErr w:type="spellStart"/>
      <w:r w:rsidRPr="00287F12">
        <w:rPr>
          <w:rFonts w:ascii="Cambria" w:hAnsi="Cambria"/>
          <w:color w:val="000000"/>
          <w:sz w:val="22"/>
          <w:szCs w:val="22"/>
          <w:lang w:eastAsia="sk-SK"/>
        </w:rPr>
        <w:t>sekuritizovaného</w:t>
      </w:r>
      <w:proofErr w:type="spellEnd"/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 alebo inak prevedeného úveru, úrokov po lehote splatnosti a poplatkov po lehote splatnosti a predajnou cenou alebo nákupnou cenou </w:t>
      </w:r>
      <w:proofErr w:type="spellStart"/>
      <w:r w:rsidRPr="00287F12">
        <w:rPr>
          <w:rFonts w:ascii="Cambria" w:hAnsi="Cambria"/>
          <w:color w:val="000000"/>
          <w:sz w:val="22"/>
          <w:szCs w:val="22"/>
          <w:lang w:eastAsia="sk-SK"/>
        </w:rPr>
        <w:t>sekuritizovaného</w:t>
      </w:r>
      <w:proofErr w:type="spellEnd"/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 alebo inak prevedeného úveru.</w:t>
      </w:r>
    </w:p>
    <w:bookmarkEnd w:id="26"/>
    <w:p w14:paraId="4511664D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6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 xml:space="preserve">Istina – </w:t>
      </w:r>
      <w:proofErr w:type="spellStart"/>
      <w:r w:rsidRPr="00287F12">
        <w:rPr>
          <w:rFonts w:ascii="Cambria" w:hAnsi="Cambria"/>
          <w:b/>
          <w:sz w:val="22"/>
          <w:szCs w:val="22"/>
          <w:lang w:eastAsia="sk-SK"/>
        </w:rPr>
        <w:t>Reklasifikácia</w:t>
      </w:r>
      <w:proofErr w:type="spellEnd"/>
      <w:r w:rsidRPr="00287F12">
        <w:rPr>
          <w:rFonts w:ascii="Cambria" w:hAnsi="Cambria"/>
          <w:sz w:val="22"/>
          <w:szCs w:val="22"/>
          <w:lang w:eastAsia="sk-SK"/>
        </w:rPr>
        <w:t xml:space="preserve">“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sa uvádza zmena stavu, ktorá vyplýva</w:t>
      </w:r>
    </w:p>
    <w:p w14:paraId="478E7BED" w14:textId="77777777" w:rsidR="00287F12" w:rsidRPr="00287F12" w:rsidRDefault="00287F12">
      <w:pPr>
        <w:numPr>
          <w:ilvl w:val="0"/>
          <w:numId w:val="21"/>
        </w:numPr>
        <w:ind w:left="1276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zo zmeny </w:t>
      </w:r>
      <w:r w:rsidRPr="00287F12">
        <w:rPr>
          <w:rFonts w:ascii="Cambria" w:hAnsi="Cambria"/>
          <w:sz w:val="22"/>
          <w:szCs w:val="22"/>
        </w:rPr>
        <w:t>zloženia štatistického spravodajského súboru,</w:t>
      </w:r>
    </w:p>
    <w:p w14:paraId="403518C7" w14:textId="77777777" w:rsidR="00287F12" w:rsidRPr="00287F12" w:rsidRDefault="00287F12">
      <w:pPr>
        <w:numPr>
          <w:ilvl w:val="0"/>
          <w:numId w:val="21"/>
        </w:numPr>
        <w:ind w:left="1276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</w:rPr>
        <w:t xml:space="preserve">zo zmeny v klasifikácii pohľadávok z úverov, </w:t>
      </w:r>
    </w:p>
    <w:p w14:paraId="5004506D" w14:textId="77777777" w:rsidR="00287F12" w:rsidRPr="00287F12" w:rsidRDefault="00287F12">
      <w:pPr>
        <w:numPr>
          <w:ilvl w:val="0"/>
          <w:numId w:val="21"/>
        </w:numPr>
        <w:ind w:left="1276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</w:rPr>
        <w:t>zo zmeny štruktúry (zlúčenie, akvizícia a rozdelenie bánk),</w:t>
      </w:r>
    </w:p>
    <w:p w14:paraId="508E4009" w14:textId="77777777" w:rsidR="00287F12" w:rsidRPr="00287F12" w:rsidRDefault="00287F12">
      <w:pPr>
        <w:numPr>
          <w:ilvl w:val="0"/>
          <w:numId w:val="21"/>
        </w:numPr>
        <w:ind w:left="1276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</w:rPr>
        <w:t>z opravy chýb vo výkazníctve.</w:t>
      </w:r>
    </w:p>
    <w:bookmarkEnd w:id="27"/>
    <w:p w14:paraId="111D5AF1" w14:textId="7FE48251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6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Časové rozlíšenie úrokov – Stav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sa uvádzajú nesplatené naakumulované úroky z</w:t>
      </w:r>
      <w:r w:rsidR="008622F1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úveru pred lehotou ich splatnosti ku dňu vykazovania.</w:t>
      </w:r>
      <w:r w:rsidRPr="00287F12">
        <w:rPr>
          <w:rFonts w:ascii="Cambria" w:hAnsi="Cambria"/>
          <w:sz w:val="22"/>
          <w:szCs w:val="22"/>
          <w:lang w:eastAsia="sk-SK"/>
        </w:rPr>
        <w:t xml:space="preserve">  </w:t>
      </w:r>
    </w:p>
    <w:p w14:paraId="7B05C3F4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6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Časové rozlíšenie úrokov – Tok zvyšujúci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“ sa uvádza transakcia zvyšujúca stav nesplatených naakumulovaných úrokov z úveru.</w:t>
      </w:r>
      <w:r w:rsidRPr="00287F12">
        <w:rPr>
          <w:rFonts w:ascii="Cambria" w:hAnsi="Cambria"/>
          <w:sz w:val="22"/>
          <w:szCs w:val="22"/>
          <w:lang w:eastAsia="sk-SK"/>
        </w:rPr>
        <w:t xml:space="preserve"> </w:t>
      </w:r>
    </w:p>
    <w:p w14:paraId="2E648BB3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6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Časové rozlíšenie úrokov – Tok znižujúci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“ sa uvádza transakcia znižujúca stav nesplatených naakumulovaných úrokov z úveru.</w:t>
      </w:r>
      <w:r w:rsidRPr="00287F12">
        <w:rPr>
          <w:rFonts w:ascii="Cambria" w:hAnsi="Cambria"/>
          <w:sz w:val="22"/>
          <w:szCs w:val="22"/>
          <w:lang w:eastAsia="sk-SK"/>
        </w:rPr>
        <w:t xml:space="preserve"> </w:t>
      </w:r>
    </w:p>
    <w:p w14:paraId="348B050B" w14:textId="0D20B686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Časové rozlíšenie úrokov</w:t>
      </w:r>
      <w:r w:rsidRPr="00287F12">
        <w:rPr>
          <w:rFonts w:ascii="Cambria" w:hAnsi="Cambria"/>
          <w:b/>
          <w:sz w:val="22"/>
          <w:szCs w:val="22"/>
          <w:lang w:eastAsia="sk-SK"/>
        </w:rPr>
        <w:t xml:space="preserve"> – Precenenie</w:t>
      </w:r>
      <w:r w:rsidRPr="00287F12">
        <w:rPr>
          <w:rFonts w:ascii="Cambria" w:hAnsi="Cambria"/>
          <w:sz w:val="22"/>
          <w:szCs w:val="22"/>
          <w:lang w:eastAsia="sk-SK"/>
        </w:rPr>
        <w:t>“ sa uvádza hodnota odpísaných nesplatených naakumulovaných úrokov pred lehotou ich splatnosti vzťahujúcich sa</w:t>
      </w:r>
      <w:r w:rsidR="00666F6D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k odpísanému úveru, alebo hodnota odpísaných nesplatených naakumulovaných úrokov pred lehotou ich splatnosti vzťahujúcich sa k čiastočne odpísanému úveru. Vykazuje sa</w:t>
      </w:r>
      <w:r w:rsidR="00666F6D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trvalé odpísanie, nie dočasné zníženie hodnoty formou tvorby opravných položiek.</w:t>
      </w:r>
    </w:p>
    <w:p w14:paraId="32FDEC1E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 xml:space="preserve">Časové rozlíšenie úrokov – </w:t>
      </w:r>
      <w:proofErr w:type="spellStart"/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Reklasifikácia</w:t>
      </w:r>
      <w:proofErr w:type="spellEnd"/>
      <w:r w:rsidRPr="00287F12">
        <w:rPr>
          <w:rFonts w:ascii="Cambria" w:hAnsi="Cambria"/>
          <w:sz w:val="22"/>
          <w:szCs w:val="22"/>
          <w:lang w:eastAsia="sk-SK"/>
        </w:rPr>
        <w:t xml:space="preserve">“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sa uvádza zmena stavu nesplatených naakumulovaných úrokov z úveru, ktorá vyplýva</w:t>
      </w:r>
    </w:p>
    <w:p w14:paraId="525801C8" w14:textId="77777777" w:rsidR="00287F12" w:rsidRPr="00287F12" w:rsidRDefault="00287F12">
      <w:pPr>
        <w:numPr>
          <w:ilvl w:val="0"/>
          <w:numId w:val="22"/>
        </w:numPr>
        <w:ind w:left="1276" w:hanging="426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zo zmeny </w:t>
      </w:r>
      <w:r w:rsidRPr="00287F12">
        <w:rPr>
          <w:rFonts w:ascii="Cambria" w:hAnsi="Cambria"/>
          <w:sz w:val="22"/>
          <w:szCs w:val="22"/>
        </w:rPr>
        <w:t>zloženia štatistického spravodajského súboru,</w:t>
      </w:r>
    </w:p>
    <w:p w14:paraId="1549290E" w14:textId="77777777" w:rsidR="00287F12" w:rsidRPr="00287F12" w:rsidRDefault="00287F12">
      <w:pPr>
        <w:numPr>
          <w:ilvl w:val="0"/>
          <w:numId w:val="22"/>
        </w:numPr>
        <w:ind w:left="1276" w:hanging="426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</w:rPr>
        <w:t xml:space="preserve">zo zmeny v klasifikácii naakumulovaných úrokov z úveru, </w:t>
      </w:r>
    </w:p>
    <w:p w14:paraId="32B8B7EF" w14:textId="77777777" w:rsidR="00287F12" w:rsidRPr="00287F12" w:rsidRDefault="00287F12">
      <w:pPr>
        <w:numPr>
          <w:ilvl w:val="0"/>
          <w:numId w:val="22"/>
        </w:numPr>
        <w:ind w:left="1276" w:hanging="426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</w:rPr>
        <w:lastRenderedPageBreak/>
        <w:t>zo zmeny štruktúry (zlúčenie, akvizícia a rozdelenie bánk),</w:t>
      </w:r>
    </w:p>
    <w:p w14:paraId="737507FD" w14:textId="77777777" w:rsidR="00287F12" w:rsidRPr="00287F12" w:rsidRDefault="00287F12">
      <w:pPr>
        <w:numPr>
          <w:ilvl w:val="0"/>
          <w:numId w:val="22"/>
        </w:numPr>
        <w:ind w:left="1276" w:hanging="426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</w:rPr>
        <w:t>z opravy chýb vo výkazníctve.</w:t>
      </w:r>
    </w:p>
    <w:p w14:paraId="05FB7772" w14:textId="10E59D89" w:rsidR="00287F12" w:rsidRPr="00813C01" w:rsidRDefault="00287F12">
      <w:pPr>
        <w:numPr>
          <w:ilvl w:val="0"/>
          <w:numId w:val="19"/>
        </w:numPr>
        <w:tabs>
          <w:tab w:val="clear" w:pos="502"/>
          <w:tab w:val="left" w:pos="142"/>
        </w:tabs>
        <w:ind w:left="851" w:hanging="426"/>
        <w:jc w:val="both"/>
        <w:rPr>
          <w:rFonts w:ascii="Cambria" w:hAnsi="Cambria"/>
          <w:sz w:val="22"/>
          <w:szCs w:val="22"/>
          <w:lang w:eastAsia="sk-SK"/>
        </w:rPr>
      </w:pPr>
      <w:r w:rsidRPr="00813C01">
        <w:rPr>
          <w:rFonts w:ascii="Cambria" w:hAnsi="Cambria"/>
          <w:sz w:val="22"/>
          <w:szCs w:val="22"/>
          <w:lang w:eastAsia="sk-SK"/>
        </w:rPr>
        <w:t>V stĺpci „</w:t>
      </w:r>
      <w:r w:rsidRPr="00813C01">
        <w:rPr>
          <w:rFonts w:ascii="Cambria" w:hAnsi="Cambria"/>
          <w:b/>
          <w:sz w:val="22"/>
          <w:szCs w:val="22"/>
          <w:lang w:eastAsia="sk-SK"/>
        </w:rPr>
        <w:t>Ostatné príslušenstvo – Stav</w:t>
      </w:r>
      <w:r w:rsidRPr="00813C01">
        <w:rPr>
          <w:rFonts w:ascii="Cambria" w:hAnsi="Cambria"/>
          <w:sz w:val="22"/>
          <w:szCs w:val="22"/>
          <w:lang w:eastAsia="sk-SK"/>
        </w:rPr>
        <w:t>“ s</w:t>
      </w:r>
      <w:r w:rsidRPr="00813C01">
        <w:rPr>
          <w:rFonts w:ascii="Cambria" w:hAnsi="Cambria"/>
          <w:color w:val="000000"/>
          <w:sz w:val="22"/>
          <w:szCs w:val="22"/>
          <w:lang w:eastAsia="sk-SK"/>
        </w:rPr>
        <w:t>a uvádza ostatné príslušenstvo vzťahujúce sa k úverom, napríklad časové rozlíšenie poplatkov a provízií, precenenie úveru</w:t>
      </w:r>
      <w:r w:rsidRPr="00813C01">
        <w:rPr>
          <w:rFonts w:ascii="Cambria" w:hAnsi="Cambria"/>
          <w:sz w:val="22"/>
          <w:szCs w:val="22"/>
          <w:lang w:eastAsia="sk-SK"/>
        </w:rPr>
        <w:t xml:space="preserve"> </w:t>
      </w:r>
      <w:r w:rsidRPr="00813C01">
        <w:rPr>
          <w:rFonts w:ascii="Cambria" w:hAnsi="Cambria"/>
          <w:color w:val="000000"/>
          <w:sz w:val="22"/>
          <w:szCs w:val="22"/>
          <w:lang w:eastAsia="sk-SK"/>
        </w:rPr>
        <w:t xml:space="preserve">vyplývajúce z oceňovania úveru v reálnej hodnote a podobne. </w:t>
      </w:r>
    </w:p>
    <w:p w14:paraId="02B436BD" w14:textId="5A84726B" w:rsidR="00287F12" w:rsidRPr="00813C01" w:rsidRDefault="00287F12">
      <w:pPr>
        <w:numPr>
          <w:ilvl w:val="0"/>
          <w:numId w:val="19"/>
        </w:numPr>
        <w:tabs>
          <w:tab w:val="clear" w:pos="502"/>
        </w:tabs>
        <w:ind w:left="851" w:hanging="425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813C01">
        <w:rPr>
          <w:rFonts w:ascii="Cambria" w:hAnsi="Cambria"/>
          <w:sz w:val="22"/>
          <w:szCs w:val="22"/>
          <w:lang w:eastAsia="sk-SK"/>
        </w:rPr>
        <w:t>V stĺpci „</w:t>
      </w:r>
      <w:r w:rsidRPr="00813C01">
        <w:rPr>
          <w:rFonts w:ascii="Cambria" w:hAnsi="Cambria"/>
          <w:b/>
          <w:sz w:val="22"/>
          <w:szCs w:val="22"/>
          <w:lang w:eastAsia="sk-SK"/>
        </w:rPr>
        <w:t>Ostatné príslušenstvo – Precenenie</w:t>
      </w:r>
      <w:r w:rsidRPr="00813C01">
        <w:rPr>
          <w:rFonts w:ascii="Cambria" w:hAnsi="Cambria"/>
          <w:sz w:val="22"/>
          <w:szCs w:val="22"/>
          <w:lang w:eastAsia="sk-SK"/>
        </w:rPr>
        <w:t>“ sa uvádza hodnota odpísaného ostatného príslušenstva vzťahujúceho sa k odpísanému úveru, alebo hodnota odpísaného ostatného príslušenstva vzťahujúceho sa k čiastočne odpísanému úveru. Vykazuje sa trvalé odpísanie, nie dočasné zníženie hodnoty formou tvorby opravných položiek.</w:t>
      </w:r>
    </w:p>
    <w:p w14:paraId="56A4979F" w14:textId="77777777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 xml:space="preserve">Ostatné príslušenstvo – </w:t>
      </w:r>
      <w:proofErr w:type="spellStart"/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Reklasifikácia</w:t>
      </w:r>
      <w:proofErr w:type="spellEnd"/>
      <w:r w:rsidRPr="00287F12">
        <w:rPr>
          <w:rFonts w:ascii="Cambria" w:hAnsi="Cambria"/>
          <w:sz w:val="22"/>
          <w:szCs w:val="22"/>
          <w:lang w:eastAsia="sk-SK"/>
        </w:rPr>
        <w:t xml:space="preserve">“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sa uvádza zmena stavu ostatného príslušenstva vzťahujúceho sa k úverom, ktorá vyplýva</w:t>
      </w:r>
    </w:p>
    <w:p w14:paraId="035999FE" w14:textId="77777777" w:rsidR="00287F12" w:rsidRPr="00287F12" w:rsidRDefault="00287F12">
      <w:pPr>
        <w:numPr>
          <w:ilvl w:val="0"/>
          <w:numId w:val="23"/>
        </w:numPr>
        <w:ind w:left="1276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zo zmeny </w:t>
      </w:r>
      <w:r w:rsidRPr="00287F12">
        <w:rPr>
          <w:rFonts w:ascii="Cambria" w:hAnsi="Cambria"/>
          <w:sz w:val="22"/>
          <w:szCs w:val="22"/>
        </w:rPr>
        <w:t>zloženia štatistického spravodajského súboru,</w:t>
      </w:r>
    </w:p>
    <w:p w14:paraId="1F75469E" w14:textId="77777777" w:rsidR="00287F12" w:rsidRPr="00287F12" w:rsidRDefault="00287F12">
      <w:pPr>
        <w:numPr>
          <w:ilvl w:val="0"/>
          <w:numId w:val="23"/>
        </w:numPr>
        <w:ind w:left="1276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</w:rPr>
        <w:t xml:space="preserve">zo zmeny v klasifikácii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ostatného príslušenstva</w:t>
      </w:r>
      <w:r w:rsidRPr="00287F12">
        <w:rPr>
          <w:rFonts w:ascii="Cambria" w:hAnsi="Cambria"/>
          <w:sz w:val="22"/>
          <w:szCs w:val="22"/>
        </w:rPr>
        <w:t xml:space="preserve">, </w:t>
      </w:r>
    </w:p>
    <w:p w14:paraId="7122EEB7" w14:textId="77777777" w:rsidR="00287F12" w:rsidRPr="00287F12" w:rsidRDefault="00287F12">
      <w:pPr>
        <w:numPr>
          <w:ilvl w:val="0"/>
          <w:numId w:val="23"/>
        </w:numPr>
        <w:ind w:left="1276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</w:rPr>
        <w:t>zo zmeny štruktúry (zlúčenie, akvizícia a rozdelenie bánk),</w:t>
      </w:r>
    </w:p>
    <w:p w14:paraId="642CE215" w14:textId="77777777" w:rsidR="00287F12" w:rsidRPr="00287F12" w:rsidRDefault="00287F12">
      <w:pPr>
        <w:numPr>
          <w:ilvl w:val="0"/>
          <w:numId w:val="23"/>
        </w:numPr>
        <w:ind w:left="1276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</w:rPr>
        <w:t>z opravy chýb vo výkazníctve.</w:t>
      </w:r>
    </w:p>
    <w:p w14:paraId="39CE4C06" w14:textId="654EA652" w:rsidR="00287F12" w:rsidRPr="00287F12" w:rsidRDefault="00287F12">
      <w:pPr>
        <w:numPr>
          <w:ilvl w:val="0"/>
          <w:numId w:val="19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DPÚM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sa uvádza </w:t>
      </w:r>
      <w:r w:rsidRPr="00287F12">
        <w:rPr>
          <w:rFonts w:ascii="Cambria" w:hAnsi="Cambria"/>
          <w:sz w:val="22"/>
          <w:szCs w:val="22"/>
          <w:lang w:eastAsia="sk-SK"/>
        </w:rPr>
        <w:t>individuálne dohodnutá úroková sadzba medzi bankou a</w:t>
      </w:r>
      <w:r w:rsidR="00865C05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klientom za úver, konvertovaná na ročný základ a určená v percentách za rok.</w:t>
      </w:r>
    </w:p>
    <w:p w14:paraId="3A47494A" w14:textId="77777777" w:rsidR="00287F12" w:rsidRPr="00287F12" w:rsidRDefault="00287F12" w:rsidP="0003721F">
      <w:pPr>
        <w:tabs>
          <w:tab w:val="left" w:pos="993"/>
        </w:tabs>
        <w:ind w:left="993"/>
        <w:jc w:val="both"/>
        <w:rPr>
          <w:rFonts w:ascii="Cambria" w:hAnsi="Cambria"/>
          <w:sz w:val="22"/>
          <w:szCs w:val="22"/>
          <w:lang w:eastAsia="sk-SK"/>
        </w:rPr>
      </w:pPr>
    </w:p>
    <w:p w14:paraId="5BD35DD1" w14:textId="77777777" w:rsidR="00287F12" w:rsidRPr="00287F12" w:rsidRDefault="00287F12" w:rsidP="00865C05">
      <w:pPr>
        <w:ind w:left="426"/>
        <w:jc w:val="both"/>
        <w:rPr>
          <w:rFonts w:ascii="Cambria" w:hAnsi="Cambria"/>
          <w:b/>
          <w:sz w:val="22"/>
          <w:szCs w:val="22"/>
          <w:u w:val="single"/>
          <w:lang w:eastAsia="sk-SK"/>
        </w:rPr>
      </w:pPr>
      <w:r w:rsidRPr="00287F12">
        <w:rPr>
          <w:rFonts w:ascii="Cambria" w:hAnsi="Cambria"/>
          <w:b/>
          <w:sz w:val="22"/>
          <w:szCs w:val="22"/>
          <w:u w:val="single"/>
          <w:lang w:eastAsia="sk-SK"/>
        </w:rPr>
        <w:t xml:space="preserve">Časť s názvom „Nové úvery poskytnuté v aktuálnom mesiaci v eurách“ </w:t>
      </w:r>
    </w:p>
    <w:p w14:paraId="56C31522" w14:textId="77777777" w:rsidR="00287F12" w:rsidRPr="00287F12" w:rsidRDefault="00287F12" w:rsidP="00287F12">
      <w:pPr>
        <w:jc w:val="both"/>
        <w:rPr>
          <w:rFonts w:ascii="Cambria" w:hAnsi="Cambria"/>
          <w:sz w:val="22"/>
          <w:szCs w:val="22"/>
          <w:lang w:eastAsia="sk-SK"/>
        </w:rPr>
      </w:pPr>
    </w:p>
    <w:p w14:paraId="150E9D02" w14:textId="77777777" w:rsidR="00287F12" w:rsidRPr="00287F12" w:rsidRDefault="00287F12">
      <w:pPr>
        <w:numPr>
          <w:ilvl w:val="0"/>
          <w:numId w:val="24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Ekonomická položka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kód, ktorý sa vyberá zo zoznamu prípustných kódov zoskupenia v IS ŠZP „CK065mk_02_1“. </w:t>
      </w:r>
    </w:p>
    <w:p w14:paraId="55887B06" w14:textId="77777777" w:rsidR="00287F12" w:rsidRPr="00287F12" w:rsidRDefault="00287F12">
      <w:pPr>
        <w:numPr>
          <w:ilvl w:val="0"/>
          <w:numId w:val="24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Druh ekonomickej položky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kód, ktorý sa vyberá zo zoznamu prípustných kódov zoskupenia v IS ŠZP „CK066mk_02_2“. </w:t>
      </w:r>
    </w:p>
    <w:p w14:paraId="2961660B" w14:textId="6AE102FC" w:rsidR="00287F12" w:rsidRPr="00287F12" w:rsidRDefault="00287F12">
      <w:pPr>
        <w:numPr>
          <w:ilvl w:val="0"/>
          <w:numId w:val="24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Právny rámec úveru</w:t>
      </w:r>
      <w:r w:rsidRPr="00287F12">
        <w:rPr>
          <w:rFonts w:ascii="Cambria" w:hAnsi="Cambria"/>
          <w:sz w:val="22"/>
          <w:szCs w:val="22"/>
          <w:lang w:eastAsia="sk-SK"/>
        </w:rPr>
        <w:t>“ sa uvádza kód právneho predpisu, podľa ktorého bol poskytnutý úver; príslušný kód sa vyberá zo zoznamu prípustných kódov zoskupenia v</w:t>
      </w:r>
      <w:r w:rsidR="00865C05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IS</w:t>
      </w:r>
      <w:r w:rsidR="00865C05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ŠZP „CK196mk_02_1“.</w:t>
      </w:r>
    </w:p>
    <w:p w14:paraId="11F04C02" w14:textId="1F73EDF0" w:rsidR="00287F12" w:rsidRPr="00287F12" w:rsidRDefault="00287F12">
      <w:pPr>
        <w:numPr>
          <w:ilvl w:val="0"/>
          <w:numId w:val="24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Účel úveru</w:t>
      </w:r>
      <w:r w:rsidRPr="00287F12">
        <w:rPr>
          <w:rFonts w:ascii="Cambria" w:hAnsi="Cambria"/>
          <w:sz w:val="22"/>
          <w:szCs w:val="22"/>
          <w:lang w:eastAsia="sk-SK"/>
        </w:rPr>
        <w:t>“ sa uvádza účel použitia úveru; kód príslušného účelu sa vyberá zo</w:t>
      </w:r>
      <w:r w:rsidR="00865C05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zoznamu prípustných kódov zoskupenia v IS ŠZP „CK173mk_02_1“.</w:t>
      </w:r>
    </w:p>
    <w:p w14:paraId="1191E62A" w14:textId="77777777" w:rsidR="00287F12" w:rsidRPr="00287F12" w:rsidRDefault="00287F12">
      <w:pPr>
        <w:numPr>
          <w:ilvl w:val="0"/>
          <w:numId w:val="24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Veľkosť úveru</w:t>
      </w:r>
      <w:r w:rsidRPr="00287F12">
        <w:rPr>
          <w:rFonts w:ascii="Cambria" w:hAnsi="Cambria"/>
          <w:sz w:val="22"/>
          <w:szCs w:val="22"/>
          <w:lang w:eastAsia="sk-SK"/>
        </w:rPr>
        <w:t>“ sa uvádza klasifikácia úveru podľa jeho výšky; kód príslušnej veľkosti úveru sa vyberá zo zoznamu prípustných kódov zoskupenia v IS ŠZP „CK150mk_02_2“.</w:t>
      </w:r>
    </w:p>
    <w:p w14:paraId="61803E8D" w14:textId="77777777" w:rsidR="00287F12" w:rsidRPr="00287F12" w:rsidRDefault="00287F12">
      <w:pPr>
        <w:numPr>
          <w:ilvl w:val="0"/>
          <w:numId w:val="24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Krajina protistrany</w:t>
      </w:r>
      <w:r w:rsidRPr="00287F12">
        <w:rPr>
          <w:rFonts w:ascii="Cambria" w:hAnsi="Cambria"/>
          <w:sz w:val="22"/>
          <w:szCs w:val="22"/>
          <w:lang w:eastAsia="sk-SK"/>
        </w:rPr>
        <w:t>“ sa uvádza krajina, ktorá je centrom hlavného ekonomického záujmu protistrany; kód príslušnej krajiny sa vyberá zo zoznamu prípustných kódov zoskupenia v IS ŠZP „KRAJNER_SK“.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 </w:t>
      </w:r>
    </w:p>
    <w:p w14:paraId="005C4643" w14:textId="77777777" w:rsidR="00287F12" w:rsidRPr="00287F12" w:rsidRDefault="00287F12">
      <w:pPr>
        <w:numPr>
          <w:ilvl w:val="0"/>
          <w:numId w:val="24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Sektor protistrany</w:t>
      </w:r>
      <w:r w:rsidRPr="00287F12">
        <w:rPr>
          <w:rFonts w:ascii="Cambria" w:hAnsi="Cambria"/>
          <w:sz w:val="22"/>
          <w:szCs w:val="22"/>
          <w:lang w:eastAsia="sk-SK"/>
        </w:rPr>
        <w:t>“ sa uvádza inštitucionálny sektor protistrany podľa osobitného predpisu</w:t>
      </w:r>
      <w:r w:rsidRPr="00287F12">
        <w:rPr>
          <w:rFonts w:ascii="Cambria" w:hAnsi="Cambria" w:cs="Calibri"/>
          <w:sz w:val="22"/>
          <w:szCs w:val="22"/>
          <w:lang w:eastAsia="sk-SK"/>
        </w:rPr>
        <w:t>;</w:t>
      </w:r>
      <w:r w:rsidRPr="00287F12">
        <w:rPr>
          <w:rFonts w:ascii="Cambria" w:hAnsi="Cambria"/>
          <w:sz w:val="22"/>
          <w:szCs w:val="22"/>
        </w:rPr>
        <w:fldChar w:fldCharType="begin"/>
      </w:r>
      <w:r w:rsidRPr="00287F12">
        <w:rPr>
          <w:rFonts w:ascii="Cambria" w:hAnsi="Cambria" w:cs="Calibri"/>
          <w:sz w:val="22"/>
          <w:szCs w:val="22"/>
          <w:lang w:eastAsia="sk-SK"/>
        </w:rPr>
        <w:instrText xml:space="preserve"> NOTEREF _Ref142379045 \h </w:instrText>
      </w:r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instrText xml:space="preserve"> \* MERGEFORMAT </w:instrText>
      </w:r>
      <w:r w:rsidRPr="00287F12">
        <w:rPr>
          <w:rFonts w:ascii="Cambria" w:hAnsi="Cambria"/>
          <w:sz w:val="22"/>
          <w:szCs w:val="22"/>
        </w:rPr>
      </w:r>
      <w:r w:rsidRPr="00287F12">
        <w:rPr>
          <w:rFonts w:ascii="Cambria" w:hAnsi="Cambria"/>
          <w:sz w:val="22"/>
          <w:szCs w:val="22"/>
        </w:rPr>
        <w:fldChar w:fldCharType="separate"/>
      </w:r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t>1</w:t>
      </w:r>
      <w:r w:rsidRPr="00287F12">
        <w:rPr>
          <w:rFonts w:ascii="Cambria" w:hAnsi="Cambria"/>
          <w:sz w:val="22"/>
          <w:szCs w:val="22"/>
        </w:rPr>
        <w:fldChar w:fldCharType="end"/>
      </w:r>
      <w:r w:rsidRPr="00287F12">
        <w:rPr>
          <w:rFonts w:ascii="Cambria" w:hAnsi="Cambria"/>
          <w:sz w:val="22"/>
          <w:szCs w:val="22"/>
          <w:lang w:eastAsia="sk-SK"/>
        </w:rPr>
        <w:t>)</w:t>
      </w:r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t xml:space="preserve"> </w:t>
      </w:r>
      <w:r w:rsidRPr="00287F12">
        <w:rPr>
          <w:rFonts w:ascii="Cambria" w:hAnsi="Cambria"/>
          <w:sz w:val="22"/>
          <w:szCs w:val="22"/>
          <w:lang w:eastAsia="sk-SK"/>
        </w:rPr>
        <w:t>kód príslušného sektora sa vyberá zo zoznamu prípustných kódov zoskupenia v IS ŠZP „CK040mk_02_2“.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 </w:t>
      </w:r>
    </w:p>
    <w:p w14:paraId="759AB737" w14:textId="77777777" w:rsidR="00287F12" w:rsidRPr="00287F12" w:rsidRDefault="00287F12">
      <w:pPr>
        <w:numPr>
          <w:ilvl w:val="0"/>
          <w:numId w:val="24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Veľkosť subjektu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klasifikácia veľkosti subjektu–protistrany podľa klasifikácie Európskej Komisie pre </w:t>
      </w:r>
      <w:proofErr w:type="spellStart"/>
      <w:r w:rsidRPr="00287F12">
        <w:rPr>
          <w:rFonts w:ascii="Cambria" w:hAnsi="Cambria"/>
          <w:sz w:val="22"/>
          <w:szCs w:val="22"/>
          <w:lang w:eastAsia="sk-SK"/>
        </w:rPr>
        <w:t>mikropodniky</w:t>
      </w:r>
      <w:proofErr w:type="spellEnd"/>
      <w:r w:rsidRPr="00287F12">
        <w:rPr>
          <w:rFonts w:ascii="Cambria" w:hAnsi="Cambria"/>
          <w:sz w:val="22"/>
          <w:szCs w:val="22"/>
          <w:lang w:eastAsia="sk-SK"/>
        </w:rPr>
        <w:t xml:space="preserve"> a malé a stredné podniky</w:t>
      </w:r>
      <w:r w:rsidRPr="00287F12">
        <w:rPr>
          <w:rFonts w:ascii="Cambria" w:hAnsi="Cambria" w:cs="Calibri"/>
          <w:sz w:val="22"/>
          <w:szCs w:val="22"/>
          <w:lang w:eastAsia="sk-SK"/>
        </w:rPr>
        <w:t>;</w:t>
      </w:r>
      <w:r w:rsidRPr="00287F12">
        <w:rPr>
          <w:rFonts w:ascii="Cambria" w:hAnsi="Cambria"/>
          <w:sz w:val="22"/>
          <w:szCs w:val="22"/>
          <w:lang w:eastAsia="sk-SK"/>
        </w:rPr>
        <w:t xml:space="preserve"> kód príslušnej veľkosti subjektu sa vyberá zo zoznamu prípustných kódov zoskupenia v IS ŠZP „CK170SPV“. </w:t>
      </w:r>
    </w:p>
    <w:p w14:paraId="47D57EAD" w14:textId="01A8520E" w:rsidR="00287F12" w:rsidRPr="00865C05" w:rsidRDefault="00287F12">
      <w:pPr>
        <w:widowControl w:val="0"/>
        <w:numPr>
          <w:ilvl w:val="0"/>
          <w:numId w:val="24"/>
        </w:numPr>
        <w:tabs>
          <w:tab w:val="clear" w:pos="360"/>
        </w:tabs>
        <w:ind w:left="850" w:hanging="425"/>
        <w:jc w:val="both"/>
        <w:rPr>
          <w:rFonts w:ascii="Cambria" w:hAnsi="Cambria"/>
          <w:sz w:val="22"/>
          <w:szCs w:val="22"/>
          <w:lang w:eastAsia="sk-SK"/>
        </w:rPr>
      </w:pPr>
      <w:r w:rsidRPr="00865C05">
        <w:rPr>
          <w:rFonts w:ascii="Cambria" w:hAnsi="Cambria"/>
          <w:sz w:val="22"/>
          <w:szCs w:val="22"/>
          <w:lang w:eastAsia="sk-SK"/>
        </w:rPr>
        <w:t>V stĺpci „</w:t>
      </w:r>
      <w:r w:rsidRPr="00865C05">
        <w:rPr>
          <w:rFonts w:ascii="Cambria" w:hAnsi="Cambria"/>
          <w:b/>
          <w:sz w:val="22"/>
          <w:szCs w:val="22"/>
          <w:lang w:eastAsia="sk-SK"/>
        </w:rPr>
        <w:t>Pôvodná splatnosť</w:t>
      </w:r>
      <w:r w:rsidRPr="00865C05">
        <w:rPr>
          <w:rFonts w:ascii="Cambria" w:hAnsi="Cambria"/>
          <w:sz w:val="22"/>
          <w:szCs w:val="22"/>
          <w:lang w:eastAsia="sk-SK"/>
        </w:rPr>
        <w:t xml:space="preserve">“ sa uvádza zmluvná doba splatnosti úveru; kód príslušnej zmluvnej doby splatnosti sa vyberá zo zoznamu prípustných kódov zoskupenia v IS ŠZP „CK032mk_02_2“. </w:t>
      </w:r>
    </w:p>
    <w:p w14:paraId="64699214" w14:textId="77777777" w:rsidR="00287F12" w:rsidRPr="00287F12" w:rsidRDefault="00287F12">
      <w:pPr>
        <w:widowControl w:val="0"/>
        <w:numPr>
          <w:ilvl w:val="0"/>
          <w:numId w:val="24"/>
        </w:numPr>
        <w:ind w:left="850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Platnosť úrokovej sadzby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dĺžka doby fixácie úrokovej sadzby; kód príslušnej doby fixácie úrokovej sadzby sa vyberá zo zoznamu prípustných kódov zoskupenia v IS ŠZP „CK050mk_02_2“. </w:t>
      </w:r>
    </w:p>
    <w:p w14:paraId="04AFBB31" w14:textId="77777777" w:rsidR="00287F12" w:rsidRPr="00287F12" w:rsidRDefault="00287F12">
      <w:pPr>
        <w:widowControl w:val="0"/>
        <w:numPr>
          <w:ilvl w:val="0"/>
          <w:numId w:val="24"/>
        </w:numPr>
        <w:ind w:left="850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lastRenderedPageBreak/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Typ obchodu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„U110“ pre čistý nový úver alebo „U29“ pre znovu prerokovaný úver. Kód sa vyberá zo zoznamu prípustných kódov zoskupenia v IS ŠZP „CK037mk_02_2“. </w:t>
      </w:r>
    </w:p>
    <w:p w14:paraId="5D578CF4" w14:textId="77777777" w:rsidR="00287F12" w:rsidRPr="00287F12" w:rsidRDefault="00287F12">
      <w:pPr>
        <w:numPr>
          <w:ilvl w:val="0"/>
          <w:numId w:val="24"/>
        </w:numPr>
        <w:tabs>
          <w:tab w:val="clear" w:pos="360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Zabezpečenie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spôsob zabezpečenia úveru; kód príslušného zabezpečenia sa vyberá zo zoznamu prípustných kódov zoskupenia v IS ŠZP „CK030mk_02_1“. </w:t>
      </w:r>
    </w:p>
    <w:p w14:paraId="31B6D08E" w14:textId="77777777" w:rsidR="00287F12" w:rsidRPr="00287F12" w:rsidRDefault="00287F12">
      <w:pPr>
        <w:numPr>
          <w:ilvl w:val="0"/>
          <w:numId w:val="24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Istina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sa uvádza výška úveru dohodnutá v zmluve o úvere.</w:t>
      </w:r>
    </w:p>
    <w:p w14:paraId="3671778F" w14:textId="0EC542EB" w:rsidR="00287F12" w:rsidRPr="00287F12" w:rsidRDefault="00287F12">
      <w:pPr>
        <w:numPr>
          <w:ilvl w:val="0"/>
          <w:numId w:val="24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DPÚM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sa uvádza </w:t>
      </w:r>
      <w:r w:rsidRPr="00287F12">
        <w:rPr>
          <w:rFonts w:ascii="Cambria" w:hAnsi="Cambria"/>
          <w:sz w:val="22"/>
          <w:szCs w:val="22"/>
          <w:lang w:eastAsia="sk-SK"/>
        </w:rPr>
        <w:t>individuálne dohodnutá úroková sadzba medzi bankou a</w:t>
      </w:r>
      <w:r w:rsidR="00865C05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 xml:space="preserve">klientom za úver, konvertovaná na ročný základ a určená v percentách za rok. </w:t>
      </w:r>
    </w:p>
    <w:p w14:paraId="59DB13E6" w14:textId="77777777" w:rsidR="00287F12" w:rsidRPr="00287F12" w:rsidRDefault="00287F12">
      <w:pPr>
        <w:numPr>
          <w:ilvl w:val="0"/>
          <w:numId w:val="24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RPMN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sa uvádza</w:t>
      </w:r>
      <w:r w:rsidRPr="00287F12">
        <w:rPr>
          <w:rFonts w:ascii="Cambria" w:hAnsi="Cambria"/>
          <w:sz w:val="22"/>
          <w:szCs w:val="22"/>
          <w:lang w:eastAsia="sk-SK"/>
        </w:rPr>
        <w:t xml:space="preserve">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ročná percentuálna miera nákladov, ktorá vyjadruje celkové náklady spotrebiteľa spojené s úverom. </w:t>
      </w:r>
    </w:p>
    <w:p w14:paraId="449745E1" w14:textId="77777777" w:rsidR="00287F12" w:rsidRPr="00287F12" w:rsidRDefault="00287F12" w:rsidP="00287F12">
      <w:pPr>
        <w:tabs>
          <w:tab w:val="num" w:pos="360"/>
          <w:tab w:val="num" w:pos="426"/>
        </w:tabs>
        <w:jc w:val="both"/>
        <w:rPr>
          <w:rFonts w:ascii="Cambria" w:hAnsi="Cambria"/>
          <w:b/>
          <w:sz w:val="22"/>
          <w:szCs w:val="22"/>
          <w:u w:val="single"/>
        </w:rPr>
      </w:pPr>
    </w:p>
    <w:p w14:paraId="7A60B515" w14:textId="77777777" w:rsidR="00287F12" w:rsidRPr="00287F12" w:rsidRDefault="00287F12" w:rsidP="00865C05">
      <w:pPr>
        <w:ind w:left="426"/>
        <w:jc w:val="both"/>
        <w:rPr>
          <w:rFonts w:ascii="Cambria" w:hAnsi="Cambria"/>
          <w:b/>
          <w:sz w:val="22"/>
          <w:szCs w:val="22"/>
          <w:u w:val="single"/>
        </w:rPr>
      </w:pPr>
      <w:r w:rsidRPr="00287F12">
        <w:rPr>
          <w:rFonts w:ascii="Cambria" w:hAnsi="Cambria"/>
          <w:b/>
          <w:sz w:val="22"/>
          <w:szCs w:val="22"/>
          <w:u w:val="single"/>
        </w:rPr>
        <w:t xml:space="preserve">Časť s názvom „Sekuritizácia a iné prevody úverov“ </w:t>
      </w:r>
    </w:p>
    <w:p w14:paraId="6B0FD97E" w14:textId="77777777" w:rsidR="00287F12" w:rsidRPr="00287F12" w:rsidRDefault="00287F12" w:rsidP="00287F12">
      <w:p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  <w:lang w:eastAsia="sk-SK"/>
        </w:rPr>
      </w:pPr>
    </w:p>
    <w:p w14:paraId="5A17A225" w14:textId="77777777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Aktíva/Pasíva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kód, ktorý sa vyberá zo zoznamu prípustných kódov zoskupenia v IS ŠZP „CK029mk_02_3“.  </w:t>
      </w:r>
    </w:p>
    <w:p w14:paraId="3A9BAB6E" w14:textId="77777777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Ekonomická položka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kód, ktorý sa vyberá zo zoznamu prípustných kódov zoskupenia v IS ŠZP „CK065mk_02_1“. </w:t>
      </w:r>
    </w:p>
    <w:p w14:paraId="5531B66C" w14:textId="77777777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Druh ekonomickej položky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kód, ktorý sa vyberá zo zoznamu prípustných kódov zoskupenia v IS ŠZP „CK066mk_02_1“. </w:t>
      </w:r>
    </w:p>
    <w:p w14:paraId="248EAA18" w14:textId="3993865E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Právny rámec úveru</w:t>
      </w:r>
      <w:r w:rsidRPr="00287F12">
        <w:rPr>
          <w:rFonts w:ascii="Cambria" w:hAnsi="Cambria"/>
          <w:sz w:val="22"/>
          <w:szCs w:val="22"/>
          <w:lang w:eastAsia="sk-SK"/>
        </w:rPr>
        <w:t>“ sa uvádza kód právneho predpisu, podľa ktorého bol poskytnutý úver; príslušný kód sa vyberá zo zoznamu prípustných kódov zoskupenia v</w:t>
      </w:r>
      <w:r w:rsidR="00865C05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IS</w:t>
      </w:r>
      <w:r w:rsidR="00865C05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ŠZP „CK196mk_02_1“.</w:t>
      </w:r>
    </w:p>
    <w:p w14:paraId="3A8811EC" w14:textId="6412E534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Účel úveru</w:t>
      </w:r>
      <w:r w:rsidRPr="00287F12">
        <w:rPr>
          <w:rFonts w:ascii="Cambria" w:hAnsi="Cambria"/>
          <w:sz w:val="22"/>
          <w:szCs w:val="22"/>
          <w:lang w:eastAsia="sk-SK"/>
        </w:rPr>
        <w:t>“ sa uvádza účel použitia úveru; kód príslušného účelu sa vyberá zo</w:t>
      </w:r>
      <w:r w:rsidR="00865C05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zoznamu prípustných kódov zoskupenia v IS ŠZP „CK173mk_02_1“.</w:t>
      </w:r>
    </w:p>
    <w:p w14:paraId="3C379258" w14:textId="68A9ADED" w:rsidR="00287F12" w:rsidRPr="00865C05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865C05">
        <w:rPr>
          <w:rFonts w:ascii="Cambria" w:hAnsi="Cambria"/>
          <w:sz w:val="22"/>
          <w:szCs w:val="22"/>
          <w:lang w:eastAsia="sk-SK"/>
        </w:rPr>
        <w:t>V stĺpci „</w:t>
      </w:r>
      <w:r w:rsidRPr="00865C05">
        <w:rPr>
          <w:rFonts w:ascii="Cambria" w:hAnsi="Cambria"/>
          <w:b/>
          <w:bCs/>
          <w:sz w:val="22"/>
          <w:szCs w:val="22"/>
          <w:lang w:eastAsia="sk-SK"/>
        </w:rPr>
        <w:t>Mena pôvodná</w:t>
      </w:r>
      <w:r w:rsidRPr="00865C05">
        <w:rPr>
          <w:rFonts w:ascii="Cambria" w:hAnsi="Cambria"/>
          <w:sz w:val="22"/>
          <w:szCs w:val="22"/>
          <w:lang w:eastAsia="sk-SK"/>
        </w:rPr>
        <w:t>“ sa uvádza kód meny, v ktorej je úver denominovaný; kód meny sa</w:t>
      </w:r>
      <w:r w:rsidR="00865C05" w:rsidRPr="00865C05">
        <w:rPr>
          <w:rFonts w:ascii="Cambria" w:hAnsi="Cambria"/>
          <w:sz w:val="22"/>
          <w:szCs w:val="22"/>
          <w:lang w:eastAsia="sk-SK"/>
        </w:rPr>
        <w:t> </w:t>
      </w:r>
      <w:r w:rsidRPr="00865C05">
        <w:rPr>
          <w:rFonts w:ascii="Cambria" w:hAnsi="Cambria"/>
          <w:sz w:val="22"/>
          <w:szCs w:val="22"/>
          <w:lang w:eastAsia="sk-SK"/>
        </w:rPr>
        <w:t>uvádza podľa medzinárodných štandardov ISO 4217 a vyberá sa zo zoznamu prípustných kódov zoskupenia v IS ŠZP „MENY“.</w:t>
      </w:r>
    </w:p>
    <w:p w14:paraId="3AF610E3" w14:textId="77777777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Krajina protistrany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krajina, ktorá je centrom hlavného ekonomického záujmu protistrany </w:t>
      </w:r>
      <w:proofErr w:type="spellStart"/>
      <w:r w:rsidRPr="00287F12">
        <w:rPr>
          <w:rFonts w:ascii="Cambria" w:hAnsi="Cambria"/>
          <w:sz w:val="22"/>
          <w:szCs w:val="22"/>
          <w:lang w:eastAsia="sk-SK"/>
        </w:rPr>
        <w:t>sekuritizovaného</w:t>
      </w:r>
      <w:proofErr w:type="spellEnd"/>
      <w:r w:rsidRPr="00287F12">
        <w:rPr>
          <w:rFonts w:ascii="Cambria" w:hAnsi="Cambria"/>
          <w:sz w:val="22"/>
          <w:szCs w:val="22"/>
          <w:lang w:eastAsia="sk-SK"/>
        </w:rPr>
        <w:t xml:space="preserve"> alebo inak prevedeného úveru; kód príslušnej krajiny sa vyberá zo zoznamu prípustných kódov zoskupenia v IS ŠZP „KRAJNER_SK“.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 </w:t>
      </w:r>
    </w:p>
    <w:p w14:paraId="5360CBAA" w14:textId="77777777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Sektor protistrany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inštitucionálny sektor protistrany </w:t>
      </w:r>
      <w:proofErr w:type="spellStart"/>
      <w:r w:rsidRPr="00287F12">
        <w:rPr>
          <w:rFonts w:ascii="Cambria" w:hAnsi="Cambria"/>
          <w:sz w:val="22"/>
          <w:szCs w:val="22"/>
          <w:lang w:eastAsia="sk-SK"/>
        </w:rPr>
        <w:t>sekuritizovaného</w:t>
      </w:r>
      <w:proofErr w:type="spellEnd"/>
      <w:r w:rsidRPr="00287F12">
        <w:rPr>
          <w:rFonts w:ascii="Cambria" w:hAnsi="Cambria"/>
          <w:sz w:val="22"/>
          <w:szCs w:val="22"/>
          <w:lang w:eastAsia="sk-SK"/>
        </w:rPr>
        <w:t xml:space="preserve"> alebo inak prevedeného úveru podľa osobitného predpisu</w:t>
      </w:r>
      <w:r w:rsidRPr="00287F12">
        <w:rPr>
          <w:rFonts w:ascii="Cambria" w:hAnsi="Cambria" w:cs="Calibri"/>
          <w:sz w:val="22"/>
          <w:szCs w:val="22"/>
          <w:lang w:eastAsia="sk-SK"/>
        </w:rPr>
        <w:t>;</w:t>
      </w:r>
      <w:r w:rsidRPr="00287F12">
        <w:rPr>
          <w:rFonts w:ascii="Cambria" w:hAnsi="Cambria"/>
          <w:sz w:val="22"/>
          <w:szCs w:val="22"/>
        </w:rPr>
        <w:fldChar w:fldCharType="begin"/>
      </w:r>
      <w:r w:rsidRPr="00287F12">
        <w:rPr>
          <w:rFonts w:ascii="Cambria" w:hAnsi="Cambria" w:cs="Calibri"/>
          <w:sz w:val="22"/>
          <w:szCs w:val="22"/>
          <w:lang w:eastAsia="sk-SK"/>
        </w:rPr>
        <w:instrText xml:space="preserve"> NOTEREF _Ref142379045 \h </w:instrText>
      </w:r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instrText xml:space="preserve"> \* MERGEFORMAT </w:instrText>
      </w:r>
      <w:r w:rsidRPr="00287F12">
        <w:rPr>
          <w:rFonts w:ascii="Cambria" w:hAnsi="Cambria"/>
          <w:sz w:val="22"/>
          <w:szCs w:val="22"/>
        </w:rPr>
      </w:r>
      <w:r w:rsidRPr="00287F12">
        <w:rPr>
          <w:rFonts w:ascii="Cambria" w:hAnsi="Cambria"/>
          <w:sz w:val="22"/>
          <w:szCs w:val="22"/>
        </w:rPr>
        <w:fldChar w:fldCharType="separate"/>
      </w:r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t>1</w:t>
      </w:r>
      <w:r w:rsidRPr="00287F12">
        <w:rPr>
          <w:rFonts w:ascii="Cambria" w:hAnsi="Cambria"/>
          <w:sz w:val="22"/>
          <w:szCs w:val="22"/>
        </w:rPr>
        <w:fldChar w:fldCharType="end"/>
      </w:r>
      <w:r w:rsidRPr="00287F12">
        <w:rPr>
          <w:rFonts w:ascii="Cambria" w:hAnsi="Cambria"/>
          <w:sz w:val="22"/>
          <w:szCs w:val="22"/>
          <w:lang w:eastAsia="sk-SK"/>
        </w:rPr>
        <w:t>) kód príslušného sektora sa vyberá zo zoznamu prípustných kódov zoskupenia v IS ŠZP „CK040mk_02_1“.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 </w:t>
      </w:r>
    </w:p>
    <w:p w14:paraId="0C11F44E" w14:textId="77777777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bookmarkStart w:id="28" w:name="_Hlk141817451"/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bookmarkEnd w:id="28"/>
      <w:r w:rsidRPr="00287F12">
        <w:rPr>
          <w:rFonts w:ascii="Cambria" w:hAnsi="Cambria"/>
          <w:b/>
          <w:sz w:val="22"/>
          <w:szCs w:val="22"/>
          <w:lang w:eastAsia="sk-SK"/>
        </w:rPr>
        <w:t>Pôvodná splatnosť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zmluvná doba splatnosti úveru; kód príslušnej zmluvnej doby splatnosti sa vyberá zo zoznamu prípustných kódov zoskupenia v IS ŠZP „CK032mk_02_1_MO“. </w:t>
      </w:r>
    </w:p>
    <w:p w14:paraId="5C54E16F" w14:textId="77777777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Kvalita majetku</w:t>
      </w:r>
      <w:r w:rsidRPr="00287F12">
        <w:rPr>
          <w:rFonts w:ascii="Cambria" w:hAnsi="Cambria"/>
          <w:sz w:val="22"/>
          <w:szCs w:val="22"/>
          <w:lang w:eastAsia="sk-SK"/>
        </w:rPr>
        <w:t>“ sa uvádza „ZLY“ (zlyhaný), ak je úver považovaný za zlyhaný podľa osobitného predpisu,</w:t>
      </w:r>
      <w:r w:rsidRPr="00287F12">
        <w:rPr>
          <w:rFonts w:ascii="Cambria" w:hAnsi="Cambria"/>
          <w:sz w:val="22"/>
          <w:szCs w:val="22"/>
        </w:rPr>
        <w:fldChar w:fldCharType="begin"/>
      </w:r>
      <w:r w:rsidRPr="00287F12">
        <w:rPr>
          <w:rFonts w:ascii="Cambria" w:hAnsi="Cambria"/>
          <w:sz w:val="22"/>
          <w:szCs w:val="22"/>
          <w:lang w:eastAsia="sk-SK"/>
        </w:rPr>
        <w:instrText xml:space="preserve"> NOTEREF _Ref142379073 \h  \* MERGEFORMAT </w:instrText>
      </w:r>
      <w:r w:rsidRPr="00287F12">
        <w:rPr>
          <w:rFonts w:ascii="Cambria" w:hAnsi="Cambria"/>
          <w:sz w:val="22"/>
          <w:szCs w:val="22"/>
        </w:rPr>
      </w:r>
      <w:r w:rsidRPr="00287F12">
        <w:rPr>
          <w:rFonts w:ascii="Cambria" w:hAnsi="Cambria"/>
          <w:sz w:val="22"/>
          <w:szCs w:val="22"/>
        </w:rPr>
        <w:fldChar w:fldCharType="separate"/>
      </w:r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t>3</w:t>
      </w:r>
      <w:r w:rsidRPr="00287F12">
        <w:rPr>
          <w:rFonts w:ascii="Cambria" w:hAnsi="Cambria"/>
          <w:sz w:val="22"/>
          <w:szCs w:val="22"/>
        </w:rPr>
        <w:fldChar w:fldCharType="end"/>
      </w:r>
      <w:r w:rsidRPr="00287F12">
        <w:rPr>
          <w:rFonts w:ascii="Cambria" w:hAnsi="Cambria"/>
          <w:sz w:val="22"/>
          <w:szCs w:val="22"/>
          <w:lang w:eastAsia="sk-SK"/>
        </w:rPr>
        <w:t xml:space="preserve">) inak sa uvádza „NZL“ (nezlyhaný). Kód sa vyberá zo zoznamu prípustných kódov zoskupenia IS ŠZP „CK051mk_02_1“. </w:t>
      </w:r>
    </w:p>
    <w:p w14:paraId="6153DF7E" w14:textId="77777777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Zabezpečenie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spôsob zabezpečenia úveru; kód príslušného zabezpečenia sa vyberá zo zoznamu prípustných kódov zoskupenia v IS ŠZP „CK030mk_02_1“. </w:t>
      </w:r>
    </w:p>
    <w:p w14:paraId="6374587F" w14:textId="0E555356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Správa úverov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„A“ (áno), ak vykazujúca banka naďalej vykonáva správu </w:t>
      </w:r>
      <w:proofErr w:type="spellStart"/>
      <w:r w:rsidRPr="00287F12">
        <w:rPr>
          <w:rFonts w:ascii="Cambria" w:hAnsi="Cambria"/>
          <w:sz w:val="22"/>
          <w:szCs w:val="22"/>
          <w:lang w:eastAsia="sk-SK"/>
        </w:rPr>
        <w:t>sekuritizovaného</w:t>
      </w:r>
      <w:proofErr w:type="spellEnd"/>
      <w:r w:rsidRPr="00287F12">
        <w:rPr>
          <w:rFonts w:ascii="Cambria" w:hAnsi="Cambria"/>
          <w:sz w:val="22"/>
          <w:szCs w:val="22"/>
          <w:lang w:eastAsia="sk-SK"/>
        </w:rPr>
        <w:t xml:space="preserve"> alebo inak prevedeného úveru, inak sa uvádza „N“ (nie). Kód sa vyberá zo</w:t>
      </w:r>
      <w:r w:rsidR="00F46CF0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 xml:space="preserve">zoznamu prípustných kódov zoskupenia v IS ŠZP „CK001MFS“. </w:t>
      </w:r>
    </w:p>
    <w:p w14:paraId="0173F9E6" w14:textId="77777777" w:rsidR="00287F12" w:rsidRPr="00287F12" w:rsidRDefault="00287F12" w:rsidP="00F46CF0">
      <w:pPr>
        <w:ind w:left="993" w:hanging="567"/>
        <w:rPr>
          <w:rFonts w:ascii="Cambria" w:hAnsi="Cambria"/>
          <w:sz w:val="22"/>
          <w:szCs w:val="22"/>
          <w:lang w:eastAsia="sk-SK"/>
        </w:rPr>
      </w:pPr>
    </w:p>
    <w:p w14:paraId="5946A666" w14:textId="6858F300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lastRenderedPageBreak/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Prevod úverov</w:t>
      </w:r>
      <w:r w:rsidRPr="00287F12">
        <w:rPr>
          <w:rFonts w:ascii="Cambria" w:hAnsi="Cambria"/>
          <w:sz w:val="22"/>
          <w:szCs w:val="22"/>
          <w:lang w:eastAsia="sk-SK"/>
        </w:rPr>
        <w:t>“ sa uvádza „SSD“ (sekuritizácia s vplyvom na vykazované stavy), „IPUSD“ (iné prevody úverov s vplyvom na vykazované stavy), „SBD“ (sekuritizácia bez</w:t>
      </w:r>
      <w:r w:rsidR="00EF492F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 xml:space="preserve">vplyvu na vykazované stavy), „IPUBD“ (iné prevody úverov bez vplyvu na vykazované stavy). Kód príslušného prevodu úveru sa vyberá zo zoznamu prípustných kódov zoskupenia v IS ŠZP „CK181mk_02_3“. </w:t>
      </w:r>
    </w:p>
    <w:p w14:paraId="3DC74F53" w14:textId="77777777" w:rsidR="00287F12" w:rsidRPr="00287F12" w:rsidRDefault="00287F12">
      <w:pPr>
        <w:numPr>
          <w:ilvl w:val="0"/>
          <w:numId w:val="25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Krajina protistrany transakcie</w:t>
      </w:r>
      <w:r w:rsidRPr="00287F12">
        <w:rPr>
          <w:rFonts w:ascii="Cambria" w:hAnsi="Cambria"/>
          <w:sz w:val="22"/>
          <w:szCs w:val="22"/>
          <w:lang w:eastAsia="sk-SK"/>
        </w:rPr>
        <w:t>“ sa uvádza krajina, ktorá je centrom hlavného ekonomického záujmu protistrany sekuritizácie alebo iného prevodu úveru; kód príslušnej krajiny sa vyberá zo zoznamu prípustných kódov zoskupenia v IS ŠZP „KRAJNER_SK“.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 </w:t>
      </w:r>
    </w:p>
    <w:p w14:paraId="4DDCF8DD" w14:textId="77777777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Sektor protistrany transakcie</w:t>
      </w:r>
      <w:r w:rsidRPr="00287F12">
        <w:rPr>
          <w:rFonts w:ascii="Cambria" w:hAnsi="Cambria"/>
          <w:sz w:val="22"/>
          <w:szCs w:val="22"/>
          <w:lang w:eastAsia="sk-SK"/>
        </w:rPr>
        <w:t>“ sa uvádza inštitucionálny sektor protistrany sekuritizácie alebo iného prevodu úveru podľa osobitného predpisu;</w:t>
      </w:r>
      <w:r w:rsidRPr="00287F12">
        <w:rPr>
          <w:rFonts w:ascii="Cambria" w:hAnsi="Cambria"/>
          <w:sz w:val="22"/>
          <w:szCs w:val="22"/>
        </w:rPr>
        <w:fldChar w:fldCharType="begin"/>
      </w:r>
      <w:r w:rsidRPr="00287F12">
        <w:rPr>
          <w:rFonts w:ascii="Cambria" w:hAnsi="Cambria"/>
          <w:sz w:val="22"/>
          <w:szCs w:val="22"/>
          <w:lang w:eastAsia="sk-SK"/>
        </w:rPr>
        <w:instrText xml:space="preserve"> NOTEREF _Ref142379045 \h  \* MERGEFORMAT </w:instrText>
      </w:r>
      <w:r w:rsidRPr="00287F12">
        <w:rPr>
          <w:rFonts w:ascii="Cambria" w:hAnsi="Cambria"/>
          <w:sz w:val="22"/>
          <w:szCs w:val="22"/>
        </w:rPr>
      </w:r>
      <w:r w:rsidRPr="00287F12">
        <w:rPr>
          <w:rFonts w:ascii="Cambria" w:hAnsi="Cambria"/>
          <w:sz w:val="22"/>
          <w:szCs w:val="22"/>
        </w:rPr>
        <w:fldChar w:fldCharType="separate"/>
      </w:r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t>1</w:t>
      </w:r>
      <w:r w:rsidRPr="00287F12">
        <w:rPr>
          <w:rFonts w:ascii="Cambria" w:hAnsi="Cambria"/>
          <w:sz w:val="22"/>
          <w:szCs w:val="22"/>
        </w:rPr>
        <w:fldChar w:fldCharType="end"/>
      </w:r>
      <w:r w:rsidRPr="00287F12">
        <w:rPr>
          <w:rFonts w:ascii="Cambria" w:hAnsi="Cambria"/>
          <w:sz w:val="22"/>
          <w:szCs w:val="22"/>
          <w:lang w:eastAsia="sk-SK"/>
        </w:rPr>
        <w:t>) kód príslušného sektora sa vyberá zo zoznamu prípustných kódov zoskupenia v IS ŠZP „CK040mk_02_3“.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 </w:t>
      </w:r>
    </w:p>
    <w:p w14:paraId="1DEBAD9D" w14:textId="77777777" w:rsidR="00287F12" w:rsidRPr="00287F12" w:rsidRDefault="00287F12">
      <w:pPr>
        <w:numPr>
          <w:ilvl w:val="0"/>
          <w:numId w:val="25"/>
        </w:numPr>
        <w:ind w:left="851" w:hanging="425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Istina – Stav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sa uvádza zostatková výška istiny </w:t>
      </w:r>
      <w:proofErr w:type="spellStart"/>
      <w:r w:rsidRPr="00287F12">
        <w:rPr>
          <w:rFonts w:ascii="Cambria" w:hAnsi="Cambria"/>
          <w:sz w:val="22"/>
          <w:szCs w:val="22"/>
          <w:lang w:eastAsia="sk-SK"/>
        </w:rPr>
        <w:t>sekuritizovaného</w:t>
      </w:r>
      <w:proofErr w:type="spellEnd"/>
      <w:r w:rsidRPr="00287F12">
        <w:rPr>
          <w:rFonts w:ascii="Cambria" w:hAnsi="Cambria"/>
          <w:sz w:val="22"/>
          <w:szCs w:val="22"/>
          <w:lang w:eastAsia="sk-SK"/>
        </w:rPr>
        <w:t xml:space="preserve"> alebo inak prevedeného úveru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, úrokov po lehote splatnosti </w:t>
      </w:r>
      <w:r w:rsidRPr="00287F12">
        <w:rPr>
          <w:rFonts w:ascii="Cambria" w:hAnsi="Cambria"/>
          <w:sz w:val="22"/>
          <w:szCs w:val="22"/>
          <w:lang w:eastAsia="sk-SK"/>
        </w:rPr>
        <w:t>a poplatkov po lehote splatnosti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 ku dňu vykazovania, neznížených o opravné položky.</w:t>
      </w:r>
    </w:p>
    <w:p w14:paraId="6B834DE7" w14:textId="77777777" w:rsidR="00287F12" w:rsidRPr="00287F12" w:rsidRDefault="00287F12">
      <w:pPr>
        <w:numPr>
          <w:ilvl w:val="0"/>
          <w:numId w:val="25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Istina – Transakcia zvyšujúca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“ sa uvádza nákupná cena </w:t>
      </w:r>
      <w:proofErr w:type="spellStart"/>
      <w:r w:rsidRPr="00287F12">
        <w:rPr>
          <w:rFonts w:ascii="Cambria" w:hAnsi="Cambria"/>
          <w:color w:val="000000"/>
          <w:sz w:val="22"/>
          <w:szCs w:val="22"/>
          <w:lang w:eastAsia="sk-SK"/>
        </w:rPr>
        <w:t>sekuritizovaných</w:t>
      </w:r>
      <w:proofErr w:type="spellEnd"/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 alebo inak prevedených úverov.</w:t>
      </w:r>
    </w:p>
    <w:p w14:paraId="54D74AA7" w14:textId="77777777" w:rsidR="00287F12" w:rsidRPr="00287F12" w:rsidRDefault="00287F12">
      <w:pPr>
        <w:numPr>
          <w:ilvl w:val="0"/>
          <w:numId w:val="25"/>
        </w:numPr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Istina – Transakcia znižujúca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“ sa uvádza predajná cena </w:t>
      </w:r>
      <w:proofErr w:type="spellStart"/>
      <w:r w:rsidRPr="00287F12">
        <w:rPr>
          <w:rFonts w:ascii="Cambria" w:hAnsi="Cambria"/>
          <w:color w:val="000000"/>
          <w:sz w:val="22"/>
          <w:szCs w:val="22"/>
          <w:lang w:eastAsia="sk-SK"/>
        </w:rPr>
        <w:t>sekuritizovaných</w:t>
      </w:r>
      <w:proofErr w:type="spellEnd"/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 alebo inak prevedených úverov.</w:t>
      </w:r>
    </w:p>
    <w:p w14:paraId="5D129848" w14:textId="77777777" w:rsidR="00287F12" w:rsidRPr="00287F12" w:rsidRDefault="00287F12">
      <w:pPr>
        <w:numPr>
          <w:ilvl w:val="0"/>
          <w:numId w:val="25"/>
        </w:numPr>
        <w:ind w:left="851" w:hanging="425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Istina – Precenenie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“ sa uvádza hodnota odpísaných, </w:t>
      </w:r>
      <w:proofErr w:type="spellStart"/>
      <w:r w:rsidRPr="00287F12">
        <w:rPr>
          <w:rFonts w:ascii="Cambria" w:hAnsi="Cambria"/>
          <w:sz w:val="22"/>
          <w:szCs w:val="22"/>
          <w:lang w:eastAsia="sk-SK"/>
        </w:rPr>
        <w:t>sekuritizovaných</w:t>
      </w:r>
      <w:proofErr w:type="spellEnd"/>
      <w:r w:rsidRPr="00287F12">
        <w:rPr>
          <w:rFonts w:ascii="Cambria" w:hAnsi="Cambria"/>
          <w:sz w:val="22"/>
          <w:szCs w:val="22"/>
          <w:lang w:eastAsia="sk-SK"/>
        </w:rPr>
        <w:t xml:space="preserve"> alebo inak prevedených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 úverov, alebo hodnota čiastočne odpísaných</w:t>
      </w:r>
      <w:r w:rsidRPr="00287F12">
        <w:rPr>
          <w:rFonts w:ascii="Cambria" w:hAnsi="Cambria"/>
          <w:sz w:val="22"/>
          <w:szCs w:val="22"/>
          <w:lang w:eastAsia="sk-SK"/>
        </w:rPr>
        <w:t xml:space="preserve"> </w:t>
      </w:r>
      <w:proofErr w:type="spellStart"/>
      <w:r w:rsidRPr="00287F12">
        <w:rPr>
          <w:rFonts w:ascii="Cambria" w:hAnsi="Cambria"/>
          <w:sz w:val="22"/>
          <w:szCs w:val="22"/>
          <w:lang w:eastAsia="sk-SK"/>
        </w:rPr>
        <w:t>sekuritizovaných</w:t>
      </w:r>
      <w:proofErr w:type="spellEnd"/>
      <w:r w:rsidRPr="00287F12">
        <w:rPr>
          <w:rFonts w:ascii="Cambria" w:hAnsi="Cambria"/>
          <w:sz w:val="22"/>
          <w:szCs w:val="22"/>
          <w:lang w:eastAsia="sk-SK"/>
        </w:rPr>
        <w:t xml:space="preserve"> alebo inak prevedených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 úverov, pri ktorých banka naďalej vykonáva správu týchto aktív; vykazuje sa trvalé odpísanie, nie dočasné zníženie hodnoty formou tvorby opravných položiek.</w:t>
      </w:r>
    </w:p>
    <w:p w14:paraId="2FAEFF0E" w14:textId="77777777" w:rsidR="00287F12" w:rsidRPr="00287F12" w:rsidRDefault="00287F12">
      <w:pPr>
        <w:numPr>
          <w:ilvl w:val="0"/>
          <w:numId w:val="25"/>
        </w:numPr>
        <w:tabs>
          <w:tab w:val="clear" w:pos="50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 xml:space="preserve">Istina – </w:t>
      </w:r>
      <w:proofErr w:type="spellStart"/>
      <w:r w:rsidRPr="00287F12">
        <w:rPr>
          <w:rFonts w:ascii="Cambria" w:hAnsi="Cambria"/>
          <w:b/>
          <w:sz w:val="22"/>
          <w:szCs w:val="22"/>
          <w:lang w:eastAsia="sk-SK"/>
        </w:rPr>
        <w:t>Reklasifikácia</w:t>
      </w:r>
      <w:proofErr w:type="spellEnd"/>
      <w:r w:rsidRPr="00287F12">
        <w:rPr>
          <w:rFonts w:ascii="Cambria" w:hAnsi="Cambria"/>
          <w:sz w:val="22"/>
          <w:szCs w:val="22"/>
          <w:lang w:eastAsia="sk-SK"/>
        </w:rPr>
        <w:t xml:space="preserve">“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sa uvádza zmena stavu</w:t>
      </w:r>
      <w:r w:rsidRPr="00287F12">
        <w:rPr>
          <w:rFonts w:ascii="Cambria" w:hAnsi="Cambria"/>
          <w:sz w:val="22"/>
          <w:szCs w:val="22"/>
          <w:lang w:eastAsia="sk-SK"/>
        </w:rPr>
        <w:t xml:space="preserve"> </w:t>
      </w:r>
      <w:proofErr w:type="spellStart"/>
      <w:r w:rsidRPr="00287F12">
        <w:rPr>
          <w:rFonts w:ascii="Cambria" w:hAnsi="Cambria"/>
          <w:color w:val="000000"/>
          <w:sz w:val="22"/>
          <w:szCs w:val="22"/>
          <w:lang w:eastAsia="sk-SK"/>
        </w:rPr>
        <w:t>sekuritizovaného</w:t>
      </w:r>
      <w:proofErr w:type="spellEnd"/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 alebo inak prevedeného úveru, ak vykazujúca banka naďalej vykonáva správu týchto aktív, ktorá vyplýva</w:t>
      </w:r>
    </w:p>
    <w:p w14:paraId="677B7986" w14:textId="77777777" w:rsidR="00287F12" w:rsidRPr="00287F12" w:rsidRDefault="00287F12">
      <w:pPr>
        <w:numPr>
          <w:ilvl w:val="0"/>
          <w:numId w:val="26"/>
        </w:numPr>
        <w:ind w:left="1276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zo zmeny </w:t>
      </w:r>
      <w:r w:rsidRPr="00287F12">
        <w:rPr>
          <w:rFonts w:ascii="Cambria" w:hAnsi="Cambria"/>
          <w:sz w:val="22"/>
          <w:szCs w:val="22"/>
        </w:rPr>
        <w:t>zloženia štatistického spravodajského súboru,</w:t>
      </w:r>
    </w:p>
    <w:p w14:paraId="06F207CA" w14:textId="77777777" w:rsidR="00287F12" w:rsidRPr="00287F12" w:rsidRDefault="00287F12">
      <w:pPr>
        <w:numPr>
          <w:ilvl w:val="0"/>
          <w:numId w:val="26"/>
        </w:numPr>
        <w:ind w:left="1276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</w:rPr>
        <w:t xml:space="preserve">zo zmeny v klasifikácii pohľadávok z úverov, </w:t>
      </w:r>
    </w:p>
    <w:p w14:paraId="0E217866" w14:textId="77777777" w:rsidR="00287F12" w:rsidRPr="00287F12" w:rsidRDefault="00287F12">
      <w:pPr>
        <w:numPr>
          <w:ilvl w:val="0"/>
          <w:numId w:val="26"/>
        </w:numPr>
        <w:ind w:left="1276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</w:rPr>
        <w:t>zo zmeny štruktúry (zlúčenie, akvizícia a rozdelenie bánk),</w:t>
      </w:r>
    </w:p>
    <w:p w14:paraId="35149462" w14:textId="77777777" w:rsidR="00287F12" w:rsidRPr="00287F12" w:rsidRDefault="00287F12">
      <w:pPr>
        <w:numPr>
          <w:ilvl w:val="0"/>
          <w:numId w:val="26"/>
        </w:numPr>
        <w:ind w:left="1276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</w:rPr>
        <w:t>z opravy chýb vo výkazníctve.</w:t>
      </w:r>
    </w:p>
    <w:p w14:paraId="718D3756" w14:textId="77777777" w:rsidR="00287F12" w:rsidRPr="00287F12" w:rsidRDefault="00287F12" w:rsidP="00F46CF0">
      <w:pPr>
        <w:tabs>
          <w:tab w:val="num" w:pos="426"/>
        </w:tabs>
        <w:ind w:left="851" w:hanging="425"/>
        <w:jc w:val="both"/>
        <w:rPr>
          <w:rFonts w:ascii="Cambria" w:hAnsi="Cambria"/>
          <w:sz w:val="22"/>
          <w:szCs w:val="22"/>
        </w:rPr>
      </w:pPr>
    </w:p>
    <w:p w14:paraId="5190BFDF" w14:textId="77777777" w:rsidR="00287F12" w:rsidRPr="00287F12" w:rsidRDefault="00287F12" w:rsidP="00F46CF0">
      <w:pPr>
        <w:ind w:left="426"/>
        <w:jc w:val="both"/>
        <w:rPr>
          <w:rFonts w:ascii="Cambria" w:hAnsi="Cambria"/>
          <w:b/>
          <w:sz w:val="22"/>
          <w:szCs w:val="22"/>
          <w:u w:val="single"/>
          <w:lang w:eastAsia="sk-SK"/>
        </w:rPr>
      </w:pPr>
      <w:r w:rsidRPr="00287F12">
        <w:rPr>
          <w:rFonts w:ascii="Cambria" w:hAnsi="Cambria"/>
          <w:b/>
          <w:sz w:val="22"/>
          <w:szCs w:val="22"/>
          <w:u w:val="single"/>
          <w:lang w:eastAsia="sk-SK"/>
        </w:rPr>
        <w:t xml:space="preserve">Časť s názvom „Zmeny stavu úverov za nefinančné spoločnosti a domácnosti“ </w:t>
      </w:r>
    </w:p>
    <w:p w14:paraId="391DC1ED" w14:textId="77777777" w:rsidR="00287F12" w:rsidRPr="00287F12" w:rsidRDefault="00287F12" w:rsidP="00F46CF0">
      <w:pPr>
        <w:tabs>
          <w:tab w:val="num" w:pos="426"/>
        </w:tabs>
        <w:ind w:left="426" w:hanging="502"/>
        <w:rPr>
          <w:rFonts w:ascii="Cambria" w:hAnsi="Cambria"/>
          <w:sz w:val="22"/>
          <w:szCs w:val="22"/>
          <w:lang w:eastAsia="sk-SK"/>
        </w:rPr>
      </w:pPr>
    </w:p>
    <w:p w14:paraId="45A57ADD" w14:textId="10042582" w:rsidR="00287F12" w:rsidRPr="00287F12" w:rsidRDefault="00287F12">
      <w:pPr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Druh úveru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kód, ktorý sa vyberá zo zoznamu prípustných kódov zoskupenia v IS ŠZP „CK066mk_02_4“. </w:t>
      </w:r>
    </w:p>
    <w:p w14:paraId="2B4ED96C" w14:textId="47DC4D71" w:rsidR="00287F12" w:rsidRPr="00287F12" w:rsidRDefault="00287F12">
      <w:pPr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Právny rámec úveru</w:t>
      </w:r>
      <w:r w:rsidRPr="00287F12">
        <w:rPr>
          <w:rFonts w:ascii="Cambria" w:hAnsi="Cambria"/>
          <w:sz w:val="22"/>
          <w:szCs w:val="22"/>
          <w:lang w:eastAsia="sk-SK"/>
        </w:rPr>
        <w:t>“ sa uvádza kód právneho predpisu, podľa ktorého bol poskytnutý úver; príslušný kód sa vyberá zo zoznamu prípustných kódov zoskupenia v</w:t>
      </w:r>
      <w:r w:rsidR="005278C8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IS</w:t>
      </w:r>
      <w:r w:rsidR="005278C8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ŠZP „CK196mk_02_1“.</w:t>
      </w:r>
    </w:p>
    <w:p w14:paraId="60436544" w14:textId="252C0007" w:rsidR="00287F12" w:rsidRPr="00287F12" w:rsidRDefault="00287F12">
      <w:pPr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Účel úveru</w:t>
      </w:r>
      <w:r w:rsidRPr="00287F12">
        <w:rPr>
          <w:rFonts w:ascii="Cambria" w:hAnsi="Cambria"/>
          <w:sz w:val="22"/>
          <w:szCs w:val="22"/>
          <w:lang w:eastAsia="sk-SK"/>
        </w:rPr>
        <w:t>“ sa uvádza účel použitia úveru; kód príslušného účelu sa vyberá zo</w:t>
      </w:r>
      <w:r w:rsidR="005278C8">
        <w:rPr>
          <w:rFonts w:ascii="Cambria" w:hAnsi="Cambria"/>
          <w:sz w:val="22"/>
          <w:szCs w:val="22"/>
          <w:lang w:eastAsia="sk-SK"/>
        </w:rPr>
        <w:t> </w:t>
      </w:r>
      <w:r w:rsidRPr="00287F12">
        <w:rPr>
          <w:rFonts w:ascii="Cambria" w:hAnsi="Cambria"/>
          <w:sz w:val="22"/>
          <w:szCs w:val="22"/>
          <w:lang w:eastAsia="sk-SK"/>
        </w:rPr>
        <w:t>zoznamu prípustných kódov zoskupenia v IS ŠZP „CK173mk_02_1“.</w:t>
      </w:r>
    </w:p>
    <w:p w14:paraId="3E63A62C" w14:textId="14E9A1D2" w:rsidR="00287F12" w:rsidRPr="00F46CF0" w:rsidRDefault="00287F12">
      <w:pPr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F46CF0">
        <w:rPr>
          <w:rFonts w:ascii="Cambria" w:hAnsi="Cambria"/>
          <w:sz w:val="22"/>
          <w:szCs w:val="22"/>
          <w:lang w:eastAsia="sk-SK"/>
        </w:rPr>
        <w:t>V stĺpci „</w:t>
      </w:r>
      <w:r w:rsidRPr="00F46CF0">
        <w:rPr>
          <w:rFonts w:ascii="Cambria" w:hAnsi="Cambria"/>
          <w:b/>
          <w:bCs/>
          <w:sz w:val="22"/>
          <w:szCs w:val="22"/>
          <w:lang w:eastAsia="sk-SK"/>
        </w:rPr>
        <w:t>Mena pôvodná</w:t>
      </w:r>
      <w:r w:rsidRPr="00F46CF0">
        <w:rPr>
          <w:rFonts w:ascii="Cambria" w:hAnsi="Cambria"/>
          <w:sz w:val="22"/>
          <w:szCs w:val="22"/>
          <w:lang w:eastAsia="sk-SK"/>
        </w:rPr>
        <w:t>“ sa uvádza kód meny, v ktorej je úver denominovaný; kód meny sa</w:t>
      </w:r>
      <w:r w:rsidR="005278C8">
        <w:rPr>
          <w:rFonts w:ascii="Cambria" w:hAnsi="Cambria"/>
          <w:sz w:val="22"/>
          <w:szCs w:val="22"/>
          <w:lang w:eastAsia="sk-SK"/>
        </w:rPr>
        <w:t> </w:t>
      </w:r>
      <w:r w:rsidRPr="00F46CF0">
        <w:rPr>
          <w:rFonts w:ascii="Cambria" w:hAnsi="Cambria"/>
          <w:sz w:val="22"/>
          <w:szCs w:val="22"/>
          <w:lang w:eastAsia="sk-SK"/>
        </w:rPr>
        <w:t xml:space="preserve">uvádza podľa medzinárodných štandardov ISO 4217 a vyberá sa zo zoznamu prípustných kódov zoskupenia v IS ŠZP „MENY“. </w:t>
      </w:r>
      <w:r w:rsidRPr="00F46CF0">
        <w:rPr>
          <w:rFonts w:ascii="Cambria" w:hAnsi="Cambria"/>
          <w:bCs/>
          <w:sz w:val="22"/>
          <w:szCs w:val="22"/>
          <w:lang w:eastAsia="sk-SK"/>
        </w:rPr>
        <w:t xml:space="preserve"> </w:t>
      </w:r>
    </w:p>
    <w:p w14:paraId="0FEAAF91" w14:textId="77777777" w:rsidR="00287F12" w:rsidRPr="00287F12" w:rsidRDefault="00287F12">
      <w:pPr>
        <w:widowControl w:val="0"/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sz w:val="22"/>
          <w:szCs w:val="22"/>
          <w:lang w:eastAsia="sk-SK"/>
        </w:rPr>
        <w:t>Sektor protistrany</w:t>
      </w:r>
      <w:r w:rsidRPr="00287F12">
        <w:rPr>
          <w:rFonts w:ascii="Cambria" w:hAnsi="Cambria"/>
          <w:sz w:val="22"/>
          <w:szCs w:val="22"/>
          <w:lang w:eastAsia="sk-SK"/>
        </w:rPr>
        <w:t>“ sa uvádza inštitucionálny sektor protistrany podľa osobitného predpisu</w:t>
      </w:r>
      <w:r w:rsidRPr="00287F12">
        <w:rPr>
          <w:rFonts w:ascii="Cambria" w:hAnsi="Cambria" w:cs="Calibri"/>
          <w:sz w:val="22"/>
          <w:szCs w:val="22"/>
          <w:lang w:eastAsia="sk-SK"/>
        </w:rPr>
        <w:t>;</w:t>
      </w:r>
      <w:r w:rsidRPr="00287F12">
        <w:rPr>
          <w:rFonts w:ascii="Cambria" w:hAnsi="Cambria"/>
          <w:sz w:val="22"/>
          <w:szCs w:val="22"/>
        </w:rPr>
        <w:fldChar w:fldCharType="begin"/>
      </w:r>
      <w:r w:rsidRPr="00287F12">
        <w:rPr>
          <w:rFonts w:ascii="Cambria" w:hAnsi="Cambria" w:cs="Calibri"/>
          <w:sz w:val="22"/>
          <w:szCs w:val="22"/>
          <w:lang w:eastAsia="sk-SK"/>
        </w:rPr>
        <w:instrText xml:space="preserve"> NOTEREF _Ref142379045 \h  \* MERGEFORMAT </w:instrText>
      </w:r>
      <w:r w:rsidRPr="00287F12">
        <w:rPr>
          <w:rFonts w:ascii="Cambria" w:hAnsi="Cambria"/>
          <w:sz w:val="22"/>
          <w:szCs w:val="22"/>
        </w:rPr>
      </w:r>
      <w:r w:rsidRPr="00287F12">
        <w:rPr>
          <w:rFonts w:ascii="Cambria" w:hAnsi="Cambria"/>
          <w:sz w:val="22"/>
          <w:szCs w:val="22"/>
        </w:rPr>
        <w:fldChar w:fldCharType="separate"/>
      </w:r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t>1</w:t>
      </w:r>
      <w:r w:rsidRPr="00287F12">
        <w:rPr>
          <w:rFonts w:ascii="Cambria" w:hAnsi="Cambria"/>
          <w:sz w:val="22"/>
          <w:szCs w:val="22"/>
        </w:rPr>
        <w:fldChar w:fldCharType="end"/>
      </w:r>
      <w:r w:rsidRPr="00287F12">
        <w:rPr>
          <w:rFonts w:ascii="Cambria" w:hAnsi="Cambria" w:cs="Calibri"/>
          <w:sz w:val="22"/>
          <w:szCs w:val="22"/>
          <w:lang w:eastAsia="sk-SK"/>
        </w:rPr>
        <w:t>)</w:t>
      </w:r>
      <w:r w:rsidRPr="00287F12">
        <w:rPr>
          <w:rFonts w:ascii="Cambria" w:hAnsi="Cambria"/>
          <w:sz w:val="22"/>
          <w:szCs w:val="22"/>
          <w:lang w:eastAsia="sk-SK"/>
        </w:rPr>
        <w:t xml:space="preserve"> kód príslušného sektora sa vyberá zo zoznamu prípustných kódov zoskupenia v IS ŠZP „CK040mk_02_4“.</w:t>
      </w:r>
      <w:r w:rsidRPr="00287F12">
        <w:rPr>
          <w:rFonts w:ascii="Cambria" w:hAnsi="Cambria"/>
          <w:bCs/>
          <w:sz w:val="22"/>
          <w:szCs w:val="22"/>
          <w:lang w:eastAsia="sk-SK"/>
        </w:rPr>
        <w:t xml:space="preserve"> </w:t>
      </w:r>
    </w:p>
    <w:p w14:paraId="68812E44" w14:textId="77777777" w:rsidR="00287F12" w:rsidRPr="00287F12" w:rsidRDefault="00287F12">
      <w:pPr>
        <w:widowControl w:val="0"/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Kvalita majetku</w:t>
      </w:r>
      <w:r w:rsidRPr="00287F12">
        <w:rPr>
          <w:rFonts w:ascii="Cambria" w:hAnsi="Cambria"/>
          <w:sz w:val="22"/>
          <w:szCs w:val="22"/>
          <w:lang w:eastAsia="sk-SK"/>
        </w:rPr>
        <w:t>“ sa uvádza „ZLY“ (zlyhaný), ak je úver považovaný za zlyhaný podľa osobitného predpisu,</w:t>
      </w:r>
      <w:r w:rsidRPr="00287F12">
        <w:rPr>
          <w:rFonts w:ascii="Cambria" w:hAnsi="Cambria"/>
          <w:sz w:val="22"/>
          <w:szCs w:val="22"/>
        </w:rPr>
        <w:fldChar w:fldCharType="begin"/>
      </w:r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instrText xml:space="preserve"> NOTEREF _Ref142379073 \f \h  \* MERGEFORMAT </w:instrText>
      </w:r>
      <w:r w:rsidRPr="00287F12">
        <w:rPr>
          <w:rFonts w:ascii="Cambria" w:hAnsi="Cambria"/>
          <w:sz w:val="22"/>
          <w:szCs w:val="22"/>
        </w:rPr>
      </w:r>
      <w:r w:rsidRPr="00287F12">
        <w:rPr>
          <w:rFonts w:ascii="Cambria" w:hAnsi="Cambria"/>
          <w:sz w:val="22"/>
          <w:szCs w:val="22"/>
        </w:rPr>
        <w:fldChar w:fldCharType="separate"/>
      </w:r>
      <w:r w:rsidRPr="00287F12">
        <w:rPr>
          <w:rFonts w:ascii="Cambria" w:hAnsi="Cambria"/>
          <w:sz w:val="22"/>
          <w:szCs w:val="22"/>
          <w:vertAlign w:val="superscript"/>
          <w:lang w:eastAsia="sk-SK"/>
        </w:rPr>
        <w:t>3</w:t>
      </w:r>
      <w:r w:rsidRPr="00287F12">
        <w:rPr>
          <w:rFonts w:ascii="Cambria" w:hAnsi="Cambria"/>
          <w:sz w:val="22"/>
          <w:szCs w:val="22"/>
        </w:rPr>
        <w:fldChar w:fldCharType="end"/>
      </w:r>
      <w:r w:rsidRPr="00287F12">
        <w:rPr>
          <w:rFonts w:ascii="Cambria" w:hAnsi="Cambria"/>
          <w:sz w:val="22"/>
          <w:szCs w:val="22"/>
          <w:lang w:eastAsia="sk-SK"/>
        </w:rPr>
        <w:t xml:space="preserve">) inak sa uvádza „NZL“ (nezlyhaný). Kód sa vyberá zo zoznamu prípustných kódov zoskupenia IS ŠZP „CK051mk_02_1“. </w:t>
      </w:r>
    </w:p>
    <w:p w14:paraId="1FB23FE4" w14:textId="042556C7" w:rsidR="00287F12" w:rsidRPr="00287F12" w:rsidRDefault="00287F12">
      <w:pPr>
        <w:widowControl w:val="0"/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lastRenderedPageBreak/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Zabezpečenie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sa uvádza spôsob zabezpečenia úveru; kód príslušného zabezpečenia sa vyberá zo zoznamu prípustných kódov zoskupenia v IS ŠZP „CK030mk_02_1“. </w:t>
      </w:r>
    </w:p>
    <w:p w14:paraId="6DA35255" w14:textId="13CEC2CC" w:rsidR="00287F12" w:rsidRPr="00287F12" w:rsidRDefault="00287F12">
      <w:pPr>
        <w:widowControl w:val="0"/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sz w:val="22"/>
          <w:szCs w:val="22"/>
          <w:lang w:eastAsia="sk-SK"/>
        </w:rPr>
        <w:t>Prírastky – Čerpanie nových úverov</w:t>
      </w:r>
      <w:r w:rsidRPr="00287F12">
        <w:rPr>
          <w:rFonts w:ascii="Cambria" w:hAnsi="Cambria"/>
          <w:sz w:val="22"/>
          <w:szCs w:val="22"/>
          <w:lang w:eastAsia="sk-SK"/>
        </w:rPr>
        <w:t xml:space="preserve">“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sa uvádza skutočné čerpanie, ktoré nastalo v</w:t>
      </w:r>
      <w:r w:rsidR="00F46CF0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príslušnom mesiaci, a to bez ohľadu na to, v ktorom mesiaci bola uzatvorená úverová zmluva.</w:t>
      </w:r>
      <w:r w:rsidRPr="00287F12">
        <w:rPr>
          <w:rFonts w:ascii="Cambria" w:hAnsi="Cambria"/>
          <w:sz w:val="22"/>
          <w:szCs w:val="22"/>
          <w:lang w:eastAsia="sk-SK"/>
        </w:rPr>
        <w:t xml:space="preserve"> </w:t>
      </w:r>
    </w:p>
    <w:p w14:paraId="1923A613" w14:textId="77777777" w:rsidR="00287F12" w:rsidRPr="00287F12" w:rsidRDefault="00287F12">
      <w:pPr>
        <w:widowControl w:val="0"/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Úbytky – Predčasné splatenie časti úveru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“ sa uvádza</w:t>
      </w:r>
      <w:r w:rsidRPr="00287F12">
        <w:rPr>
          <w:rFonts w:ascii="Cambria" w:hAnsi="Cambria"/>
          <w:sz w:val="22"/>
          <w:szCs w:val="22"/>
          <w:lang w:eastAsia="sk-SK"/>
        </w:rPr>
        <w:t xml:space="preserve"> výška časti mimoriadne splatenej istiny, ako rozdiel medzi sumou klientom zaplatenej istiny a predpísanou splátkou istiny. </w:t>
      </w:r>
    </w:p>
    <w:p w14:paraId="260938F0" w14:textId="77777777" w:rsidR="00287F12" w:rsidRPr="00287F12" w:rsidRDefault="00287F12">
      <w:pPr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Úbytky – Predčasné splatenie celého úveru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“ sa uvádza</w:t>
      </w:r>
      <w:r w:rsidRPr="00287F12">
        <w:rPr>
          <w:rFonts w:ascii="Cambria" w:hAnsi="Cambria"/>
          <w:sz w:val="22"/>
          <w:szCs w:val="22"/>
          <w:lang w:eastAsia="sk-SK"/>
        </w:rPr>
        <w:t xml:space="preserve">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výška sumy predčasne splatenej istiny, ako rozdiel medzi zostatkom nesplatenej istiny a predpísanou splátkou istiny.</w:t>
      </w:r>
    </w:p>
    <w:p w14:paraId="2E4524A4" w14:textId="77777777" w:rsidR="00287F12" w:rsidRPr="00287F12" w:rsidRDefault="00287F12">
      <w:pPr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Úbytky – Ostatné splátky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“ sa uvádza</w:t>
      </w:r>
      <w:r w:rsidRPr="00287F12">
        <w:rPr>
          <w:rFonts w:ascii="Cambria" w:hAnsi="Cambria"/>
          <w:sz w:val="22"/>
          <w:szCs w:val="22"/>
          <w:lang w:eastAsia="sk-SK"/>
        </w:rPr>
        <w:t xml:space="preserve">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iba suma, ktorá zodpovedá splátkam, ktoré sú po dátume splatnosti, alebo ich dátum splatnosti nastal v aktuálnom mesiaci. </w:t>
      </w:r>
    </w:p>
    <w:p w14:paraId="3CFB0E82" w14:textId="08788B93" w:rsidR="00287F12" w:rsidRPr="00287F12" w:rsidRDefault="00287F12">
      <w:pPr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Zmeny súvisiace so zmenou kreditnej kvality úveru – Presun zo zlyhaných do</w:t>
      </w:r>
      <w:r w:rsidR="00F46CF0">
        <w:rPr>
          <w:rFonts w:ascii="Cambria" w:hAnsi="Cambria"/>
          <w:b/>
          <w:bCs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štandardných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“ sa uvádza</w:t>
      </w:r>
      <w:r w:rsidRPr="00287F12">
        <w:rPr>
          <w:rFonts w:ascii="Cambria" w:hAnsi="Cambria"/>
          <w:sz w:val="22"/>
          <w:szCs w:val="22"/>
          <w:lang w:eastAsia="sk-SK"/>
        </w:rPr>
        <w:t xml:space="preserve">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presun zo zlyhaných úverov do štandardných úverov, ktorý vyplýva zo zmeny kreditnej kvality úveru. Každý presun sa zaznačí podvojným zápisom, pričom jedna z hodnôt bude kladná a druhá záporná. Objem presunutých úverov sa uvádza v plnej výške nesplatenej časti pohľadávky.</w:t>
      </w:r>
    </w:p>
    <w:p w14:paraId="6CD23483" w14:textId="77777777" w:rsidR="00287F12" w:rsidRPr="00287F12" w:rsidRDefault="00287F12">
      <w:pPr>
        <w:numPr>
          <w:ilvl w:val="0"/>
          <w:numId w:val="27"/>
        </w:numPr>
        <w:tabs>
          <w:tab w:val="clear" w:pos="642"/>
          <w:tab w:val="left" w:pos="709"/>
        </w:tabs>
        <w:ind w:left="851" w:hanging="425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Zmeny súvisiace so zmenou kreditnej kvality úveru – Presun zo štandardných do zlyhaných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“ sa uvádza presun zo štandardných úverov do zlyhaných úverov, ktorý vyplýva zo zmeny kreditnej kvality úveru. Každý presun sa zaznačí podvojným zápisom, pričom jedna z hodnôt bude kladná a druhá záporná. Objem presunutých úverov sa uvádza v plnej výške nesplatenej časti pohľadávky.</w:t>
      </w:r>
    </w:p>
    <w:p w14:paraId="395245FA" w14:textId="77777777" w:rsidR="00287F12" w:rsidRPr="00287F12" w:rsidRDefault="00287F12">
      <w:pPr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 stĺpci „</w:t>
      </w: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Ostatné príležitostné zmeny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“ sa uvádzajú ostatné príležitostné zmeny stavu úverov iné ako odpredaj a odpis úverov.</w:t>
      </w:r>
    </w:p>
    <w:p w14:paraId="2CA88FA6" w14:textId="3075386D" w:rsidR="00287F12" w:rsidRDefault="00287F12">
      <w:pPr>
        <w:numPr>
          <w:ilvl w:val="0"/>
          <w:numId w:val="27"/>
        </w:numPr>
        <w:tabs>
          <w:tab w:val="clear" w:pos="642"/>
        </w:tabs>
        <w:ind w:left="851" w:hanging="425"/>
        <w:jc w:val="both"/>
        <w:rPr>
          <w:rFonts w:ascii="Cambria" w:hAnsi="Cambria"/>
          <w:bCs/>
          <w:sz w:val="22"/>
          <w:szCs w:val="22"/>
          <w:lang w:eastAsia="sk-SK"/>
        </w:rPr>
      </w:pPr>
      <w:r w:rsidRPr="00287F12">
        <w:rPr>
          <w:rFonts w:ascii="Cambria" w:hAnsi="Cambria"/>
          <w:bCs/>
          <w:sz w:val="22"/>
          <w:szCs w:val="22"/>
          <w:lang w:eastAsia="sk-SK"/>
        </w:rPr>
        <w:t>Použité skratky</w:t>
      </w:r>
    </w:p>
    <w:p w14:paraId="1C027E5F" w14:textId="7F420F48" w:rsidR="002E74B0" w:rsidRDefault="005278C8" w:rsidP="002E74B0">
      <w:pPr>
        <w:ind w:left="851"/>
        <w:jc w:val="both"/>
        <w:rPr>
          <w:rFonts w:ascii="Cambria" w:hAnsi="Cambria"/>
          <w:bCs/>
          <w:sz w:val="22"/>
          <w:szCs w:val="22"/>
          <w:lang w:eastAsia="sk-SK"/>
        </w:rPr>
      </w:pPr>
      <w:r>
        <w:rPr>
          <w:rFonts w:ascii="Cambria" w:hAnsi="Cambria"/>
          <w:bCs/>
          <w:sz w:val="22"/>
          <w:szCs w:val="22"/>
          <w:lang w:eastAsia="sk-SK"/>
        </w:rPr>
        <w:t>Č</w:t>
      </w:r>
      <w:r w:rsidR="002E74B0">
        <w:rPr>
          <w:rFonts w:ascii="Cambria" w:hAnsi="Cambria"/>
          <w:bCs/>
          <w:sz w:val="22"/>
          <w:szCs w:val="22"/>
          <w:lang w:eastAsia="sk-SK"/>
        </w:rPr>
        <w:t>. r.</w:t>
      </w:r>
      <w:r w:rsidR="002E74B0">
        <w:rPr>
          <w:rFonts w:ascii="Cambria" w:hAnsi="Cambria"/>
          <w:bCs/>
          <w:sz w:val="22"/>
          <w:szCs w:val="22"/>
          <w:lang w:eastAsia="sk-SK"/>
        </w:rPr>
        <w:tab/>
      </w:r>
      <w:r w:rsidR="002E74B0">
        <w:rPr>
          <w:rFonts w:ascii="Cambria" w:hAnsi="Cambria"/>
          <w:bCs/>
          <w:sz w:val="22"/>
          <w:szCs w:val="22"/>
          <w:lang w:eastAsia="sk-SK"/>
        </w:rPr>
        <w:tab/>
        <w:t>-</w:t>
      </w:r>
      <w:r w:rsidR="002E74B0">
        <w:rPr>
          <w:rFonts w:ascii="Cambria" w:hAnsi="Cambria"/>
          <w:bCs/>
          <w:sz w:val="22"/>
          <w:szCs w:val="22"/>
          <w:lang w:eastAsia="sk-SK"/>
        </w:rPr>
        <w:tab/>
        <w:t>číslo riadku</w:t>
      </w:r>
    </w:p>
    <w:p w14:paraId="1C3E3673" w14:textId="75279EB3" w:rsidR="00287F12" w:rsidRDefault="002E74B0" w:rsidP="002E74B0">
      <w:pPr>
        <w:ind w:left="851"/>
        <w:jc w:val="both"/>
        <w:rPr>
          <w:rFonts w:ascii="Cambria" w:hAnsi="Cambria"/>
          <w:sz w:val="22"/>
          <w:szCs w:val="22"/>
          <w:lang w:eastAsia="sk-SK"/>
        </w:rPr>
      </w:pPr>
      <w:r w:rsidRPr="008268F7">
        <w:rPr>
          <w:rFonts w:ascii="Cambria" w:hAnsi="Cambria"/>
          <w:sz w:val="22"/>
          <w:szCs w:val="22"/>
          <w:lang w:eastAsia="sk-SK"/>
        </w:rPr>
        <w:t>DPÚM</w:t>
      </w:r>
      <w:r>
        <w:rPr>
          <w:rFonts w:ascii="Cambria" w:hAnsi="Cambria"/>
          <w:sz w:val="22"/>
          <w:szCs w:val="22"/>
          <w:lang w:eastAsia="sk-SK"/>
        </w:rPr>
        <w:tab/>
        <w:t>-</w:t>
      </w:r>
      <w:r>
        <w:rPr>
          <w:rFonts w:ascii="Cambria" w:hAnsi="Cambria"/>
          <w:sz w:val="22"/>
          <w:szCs w:val="22"/>
          <w:lang w:eastAsia="sk-SK"/>
        </w:rPr>
        <w:tab/>
      </w:r>
      <w:bookmarkEnd w:id="12"/>
      <w:bookmarkEnd w:id="13"/>
      <w:r w:rsidRPr="008268F7">
        <w:rPr>
          <w:rFonts w:ascii="Cambria" w:hAnsi="Cambria"/>
          <w:sz w:val="22"/>
          <w:szCs w:val="22"/>
          <w:lang w:eastAsia="sk-SK"/>
        </w:rPr>
        <w:t>dohodnutá priemerná úroková miera</w:t>
      </w:r>
    </w:p>
    <w:p w14:paraId="0C003BDB" w14:textId="5103E907" w:rsidR="002E74B0" w:rsidRDefault="002E74B0" w:rsidP="002E74B0">
      <w:pPr>
        <w:ind w:left="851"/>
        <w:jc w:val="both"/>
        <w:rPr>
          <w:rFonts w:ascii="Cambria" w:hAnsi="Cambria"/>
          <w:sz w:val="22"/>
          <w:szCs w:val="22"/>
          <w:lang w:eastAsia="sk-SK"/>
        </w:rPr>
      </w:pPr>
      <w:r>
        <w:rPr>
          <w:rFonts w:ascii="Cambria" w:hAnsi="Cambria"/>
          <w:sz w:val="22"/>
          <w:szCs w:val="22"/>
          <w:lang w:eastAsia="sk-SK"/>
        </w:rPr>
        <w:t>IS</w:t>
      </w:r>
      <w:r>
        <w:rPr>
          <w:rFonts w:ascii="Cambria" w:hAnsi="Cambria"/>
          <w:sz w:val="22"/>
          <w:szCs w:val="22"/>
          <w:lang w:eastAsia="sk-SK"/>
        </w:rPr>
        <w:tab/>
      </w:r>
      <w:r>
        <w:rPr>
          <w:rFonts w:ascii="Cambria" w:hAnsi="Cambria"/>
          <w:sz w:val="22"/>
          <w:szCs w:val="22"/>
          <w:lang w:eastAsia="sk-SK"/>
        </w:rPr>
        <w:tab/>
        <w:t>-</w:t>
      </w:r>
      <w:r>
        <w:rPr>
          <w:rFonts w:ascii="Cambria" w:hAnsi="Cambria"/>
          <w:sz w:val="22"/>
          <w:szCs w:val="22"/>
          <w:lang w:eastAsia="sk-SK"/>
        </w:rPr>
        <w:tab/>
      </w:r>
      <w:r w:rsidRPr="008268F7">
        <w:rPr>
          <w:rFonts w:ascii="Cambria" w:hAnsi="Cambria"/>
          <w:sz w:val="22"/>
          <w:szCs w:val="22"/>
          <w:lang w:eastAsia="sk-SK"/>
        </w:rPr>
        <w:t>informačný systém</w:t>
      </w:r>
    </w:p>
    <w:p w14:paraId="1E0F9520" w14:textId="30B4FE5C" w:rsidR="002E74B0" w:rsidRDefault="002E74B0" w:rsidP="002E74B0">
      <w:pPr>
        <w:ind w:left="851"/>
        <w:jc w:val="both"/>
        <w:rPr>
          <w:rFonts w:ascii="Cambria" w:hAnsi="Cambria"/>
          <w:sz w:val="22"/>
          <w:szCs w:val="22"/>
          <w:lang w:eastAsia="sk-SK"/>
        </w:rPr>
      </w:pPr>
      <w:r>
        <w:rPr>
          <w:rFonts w:ascii="Cambria" w:hAnsi="Cambria"/>
          <w:sz w:val="22"/>
          <w:szCs w:val="22"/>
          <w:lang w:eastAsia="sk-SK"/>
        </w:rPr>
        <w:t>MFS</w:t>
      </w:r>
      <w:r>
        <w:rPr>
          <w:rFonts w:ascii="Cambria" w:hAnsi="Cambria"/>
          <w:sz w:val="22"/>
          <w:szCs w:val="22"/>
          <w:lang w:eastAsia="sk-SK"/>
        </w:rPr>
        <w:tab/>
      </w:r>
      <w:r>
        <w:rPr>
          <w:rFonts w:ascii="Cambria" w:hAnsi="Cambria"/>
          <w:sz w:val="22"/>
          <w:szCs w:val="22"/>
          <w:lang w:eastAsia="sk-SK"/>
        </w:rPr>
        <w:tab/>
        <w:t>-</w:t>
      </w:r>
      <w:r>
        <w:rPr>
          <w:rFonts w:ascii="Cambria" w:hAnsi="Cambria"/>
          <w:sz w:val="22"/>
          <w:szCs w:val="22"/>
          <w:lang w:eastAsia="sk-SK"/>
        </w:rPr>
        <w:tab/>
      </w:r>
      <w:r w:rsidRPr="008268F7">
        <w:rPr>
          <w:rFonts w:ascii="Cambria" w:hAnsi="Cambria"/>
          <w:sz w:val="22"/>
          <w:szCs w:val="22"/>
          <w:lang w:eastAsia="sk-SK"/>
        </w:rPr>
        <w:t>menová a finančná štatistika</w:t>
      </w:r>
    </w:p>
    <w:p w14:paraId="2A8EE511" w14:textId="2CA8B099" w:rsidR="002E74B0" w:rsidRDefault="002E74B0" w:rsidP="002E74B0">
      <w:pPr>
        <w:ind w:left="851"/>
        <w:jc w:val="both"/>
        <w:rPr>
          <w:rFonts w:ascii="Cambria" w:hAnsi="Cambria"/>
          <w:sz w:val="22"/>
          <w:szCs w:val="22"/>
          <w:lang w:eastAsia="sk-SK"/>
        </w:rPr>
      </w:pPr>
      <w:r>
        <w:rPr>
          <w:rFonts w:ascii="Cambria" w:hAnsi="Cambria"/>
          <w:sz w:val="22"/>
          <w:szCs w:val="22"/>
          <w:lang w:eastAsia="sk-SK"/>
        </w:rPr>
        <w:t>RPMN</w:t>
      </w:r>
      <w:r>
        <w:rPr>
          <w:rFonts w:ascii="Cambria" w:hAnsi="Cambria"/>
          <w:sz w:val="22"/>
          <w:szCs w:val="22"/>
          <w:lang w:eastAsia="sk-SK"/>
        </w:rPr>
        <w:tab/>
        <w:t>-</w:t>
      </w:r>
      <w:r>
        <w:rPr>
          <w:rFonts w:ascii="Cambria" w:hAnsi="Cambria"/>
          <w:sz w:val="22"/>
          <w:szCs w:val="22"/>
          <w:lang w:eastAsia="sk-SK"/>
        </w:rPr>
        <w:tab/>
      </w:r>
      <w:r w:rsidRPr="008268F7">
        <w:rPr>
          <w:rFonts w:ascii="Cambria" w:hAnsi="Cambria"/>
          <w:sz w:val="22"/>
          <w:szCs w:val="22"/>
          <w:lang w:eastAsia="sk-SK"/>
        </w:rPr>
        <w:t>ročná percentuálna miera nákladov</w:t>
      </w:r>
    </w:p>
    <w:p w14:paraId="5E8BAD28" w14:textId="57A016D5" w:rsidR="002E74B0" w:rsidRDefault="002E74B0" w:rsidP="002E74B0">
      <w:pPr>
        <w:ind w:left="851"/>
        <w:jc w:val="both"/>
        <w:rPr>
          <w:rFonts w:ascii="Cambria" w:hAnsi="Cambria"/>
          <w:sz w:val="22"/>
          <w:szCs w:val="22"/>
          <w:lang w:eastAsia="sk-SK"/>
        </w:rPr>
      </w:pPr>
      <w:r>
        <w:rPr>
          <w:rFonts w:ascii="Cambria" w:hAnsi="Cambria"/>
          <w:sz w:val="22"/>
          <w:szCs w:val="22"/>
          <w:lang w:eastAsia="sk-SK"/>
        </w:rPr>
        <w:t>ŠZP</w:t>
      </w:r>
      <w:r>
        <w:rPr>
          <w:rFonts w:ascii="Cambria" w:hAnsi="Cambria"/>
          <w:sz w:val="22"/>
          <w:szCs w:val="22"/>
          <w:lang w:eastAsia="sk-SK"/>
        </w:rPr>
        <w:tab/>
      </w:r>
      <w:r>
        <w:rPr>
          <w:rFonts w:ascii="Cambria" w:hAnsi="Cambria"/>
          <w:sz w:val="22"/>
          <w:szCs w:val="22"/>
          <w:lang w:eastAsia="sk-SK"/>
        </w:rPr>
        <w:tab/>
        <w:t>-</w:t>
      </w:r>
      <w:r>
        <w:rPr>
          <w:rFonts w:ascii="Cambria" w:hAnsi="Cambria"/>
          <w:sz w:val="22"/>
          <w:szCs w:val="22"/>
          <w:lang w:eastAsia="sk-SK"/>
        </w:rPr>
        <w:tab/>
      </w:r>
      <w:r w:rsidRPr="008268F7">
        <w:rPr>
          <w:rFonts w:ascii="Cambria" w:hAnsi="Cambria"/>
          <w:sz w:val="22"/>
          <w:szCs w:val="22"/>
          <w:lang w:eastAsia="sk-SK"/>
        </w:rPr>
        <w:t>štatistický zberový portál.</w:t>
      </w:r>
      <w:r>
        <w:rPr>
          <w:rFonts w:ascii="Cambria" w:hAnsi="Cambria"/>
          <w:sz w:val="22"/>
          <w:szCs w:val="22"/>
          <w:lang w:eastAsia="sk-SK"/>
        </w:rPr>
        <w:t>“.</w:t>
      </w:r>
    </w:p>
    <w:p w14:paraId="4ED4DEE2" w14:textId="77777777" w:rsidR="002E74B0" w:rsidRPr="00287F12" w:rsidRDefault="002E74B0" w:rsidP="002E74B0">
      <w:pPr>
        <w:ind w:left="851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9ECA2C2" w14:textId="77777777" w:rsidR="00287F12" w:rsidRPr="00287F12" w:rsidRDefault="00287F12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Príloha č. 6 sa nahrádza prílohou č. 1 k tomuto opatreniu.</w:t>
      </w:r>
    </w:p>
    <w:p w14:paraId="262CBA8E" w14:textId="77777777" w:rsidR="00287F12" w:rsidRPr="00287F12" w:rsidRDefault="00287F12" w:rsidP="002E74B0">
      <w:pPr>
        <w:pStyle w:val="ListParagraph"/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1CFD9767" w14:textId="77777777" w:rsidR="00287F12" w:rsidRPr="00287F12" w:rsidRDefault="00287F12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Príloha č. 8 sa vypúšťa.</w:t>
      </w:r>
    </w:p>
    <w:p w14:paraId="47A61EA3" w14:textId="77777777" w:rsidR="00287F12" w:rsidRPr="00287F12" w:rsidRDefault="00287F12" w:rsidP="002E74B0">
      <w:pPr>
        <w:pStyle w:val="ListParagraph"/>
        <w:ind w:left="426" w:hanging="426"/>
        <w:rPr>
          <w:rFonts w:ascii="Cambria" w:hAnsi="Cambria"/>
          <w:color w:val="000000" w:themeColor="text1"/>
          <w:sz w:val="22"/>
          <w:szCs w:val="22"/>
        </w:rPr>
      </w:pPr>
    </w:p>
    <w:p w14:paraId="4AF23359" w14:textId="77777777" w:rsidR="00287F12" w:rsidRPr="00287F12" w:rsidRDefault="00287F12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Prílohy č. 16 a 17 sa vypúšťajú.</w:t>
      </w:r>
    </w:p>
    <w:p w14:paraId="48A8B8E5" w14:textId="77777777" w:rsidR="00287F12" w:rsidRPr="00287F12" w:rsidRDefault="00287F12" w:rsidP="002E74B0">
      <w:pPr>
        <w:pStyle w:val="ListParagraph"/>
        <w:ind w:left="426" w:hanging="426"/>
        <w:rPr>
          <w:rFonts w:ascii="Cambria" w:hAnsi="Cambria"/>
          <w:color w:val="000000" w:themeColor="text1"/>
          <w:sz w:val="22"/>
          <w:szCs w:val="22"/>
        </w:rPr>
      </w:pPr>
    </w:p>
    <w:p w14:paraId="0BCA01AF" w14:textId="77777777" w:rsidR="00287F12" w:rsidRPr="00287F12" w:rsidRDefault="00287F12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Prílohy č. 18 až 23 sa nahrádzajú prílohami č. 2 až 7 k tomuto opatreniu.</w:t>
      </w:r>
    </w:p>
    <w:p w14:paraId="5FAF5DE8" w14:textId="77777777" w:rsidR="00287F12" w:rsidRPr="00287F12" w:rsidRDefault="00287F12" w:rsidP="002E74B0">
      <w:pPr>
        <w:pStyle w:val="ListParagraph"/>
        <w:ind w:left="426" w:hanging="426"/>
        <w:rPr>
          <w:rFonts w:ascii="Cambria" w:hAnsi="Cambria"/>
          <w:color w:val="000000" w:themeColor="text1"/>
          <w:sz w:val="22"/>
          <w:szCs w:val="22"/>
        </w:rPr>
      </w:pPr>
    </w:p>
    <w:p w14:paraId="65B2641F" w14:textId="77777777" w:rsidR="00287F12" w:rsidRPr="00287F12" w:rsidRDefault="00287F12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 xml:space="preserve">Opatrenie sa dopĺňa prílohou č. 25, ktorá vrátane nadpisu znie: </w:t>
      </w:r>
    </w:p>
    <w:p w14:paraId="07B7E71C" w14:textId="77777777" w:rsidR="00287F12" w:rsidRPr="00287F12" w:rsidRDefault="00287F12" w:rsidP="002E74B0">
      <w:pPr>
        <w:ind w:left="426" w:hanging="426"/>
        <w:rPr>
          <w:rFonts w:ascii="Cambria" w:hAnsi="Cambria"/>
          <w:color w:val="000000" w:themeColor="text1"/>
          <w:sz w:val="22"/>
          <w:szCs w:val="22"/>
        </w:rPr>
      </w:pPr>
    </w:p>
    <w:p w14:paraId="3529DB97" w14:textId="77777777" w:rsidR="00287F12" w:rsidRPr="00287F12" w:rsidRDefault="00287F12" w:rsidP="00287F12">
      <w:pPr>
        <w:ind w:left="567" w:hanging="567"/>
        <w:rPr>
          <w:rFonts w:ascii="Cambria" w:hAnsi="Cambria"/>
          <w:color w:val="000000" w:themeColor="text1"/>
          <w:sz w:val="22"/>
          <w:szCs w:val="22"/>
        </w:rPr>
      </w:pPr>
    </w:p>
    <w:p w14:paraId="21D9EF19" w14:textId="766376DD" w:rsidR="00287F12" w:rsidRDefault="00287F12" w:rsidP="00287F12">
      <w:pPr>
        <w:rPr>
          <w:rFonts w:ascii="Cambria" w:hAnsi="Cambria"/>
          <w:color w:val="000000" w:themeColor="text1"/>
          <w:sz w:val="22"/>
          <w:szCs w:val="22"/>
        </w:rPr>
      </w:pPr>
    </w:p>
    <w:p w14:paraId="60D3FDC2" w14:textId="57C90921" w:rsidR="002E74B0" w:rsidRDefault="002E74B0" w:rsidP="00287F12">
      <w:pPr>
        <w:rPr>
          <w:rFonts w:ascii="Cambria" w:hAnsi="Cambria"/>
          <w:color w:val="000000" w:themeColor="text1"/>
          <w:sz w:val="22"/>
          <w:szCs w:val="22"/>
        </w:rPr>
      </w:pPr>
    </w:p>
    <w:p w14:paraId="56701F83" w14:textId="77777777" w:rsidR="002E74B0" w:rsidRPr="00287F12" w:rsidRDefault="002E74B0" w:rsidP="00287F12">
      <w:pPr>
        <w:rPr>
          <w:rFonts w:ascii="Cambria" w:hAnsi="Cambria"/>
          <w:color w:val="000000" w:themeColor="text1"/>
          <w:sz w:val="22"/>
          <w:szCs w:val="22"/>
        </w:rPr>
      </w:pPr>
    </w:p>
    <w:p w14:paraId="40B6513F" w14:textId="77777777" w:rsidR="00287F12" w:rsidRPr="00287F12" w:rsidRDefault="00287F12" w:rsidP="00287F12">
      <w:pPr>
        <w:rPr>
          <w:rFonts w:ascii="Cambria" w:hAnsi="Cambria"/>
          <w:color w:val="000000" w:themeColor="text1"/>
          <w:sz w:val="22"/>
          <w:szCs w:val="22"/>
        </w:rPr>
      </w:pPr>
    </w:p>
    <w:p w14:paraId="55B223CC" w14:textId="352DD7D3" w:rsidR="00287F12" w:rsidRPr="00287F12" w:rsidRDefault="00287F12" w:rsidP="00287F12">
      <w:pPr>
        <w:pStyle w:val="ListParagraph"/>
        <w:jc w:val="right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 xml:space="preserve">„Príloha č. 25 k opatreniu č. </w:t>
      </w:r>
      <w:r w:rsidR="00DC6814">
        <w:rPr>
          <w:rFonts w:ascii="Cambria" w:hAnsi="Cambria"/>
          <w:color w:val="000000" w:themeColor="text1"/>
          <w:sz w:val="22"/>
          <w:szCs w:val="22"/>
        </w:rPr>
        <w:t>8/2021</w:t>
      </w:r>
    </w:p>
    <w:p w14:paraId="2E141B4F" w14:textId="77777777" w:rsidR="00287F12" w:rsidRPr="00287F12" w:rsidRDefault="00287F12" w:rsidP="00287F12">
      <w:pPr>
        <w:pStyle w:val="ListParagraph"/>
        <w:jc w:val="right"/>
        <w:rPr>
          <w:rFonts w:ascii="Cambria" w:hAnsi="Cambria"/>
          <w:color w:val="000000" w:themeColor="text1"/>
          <w:sz w:val="22"/>
          <w:szCs w:val="22"/>
        </w:rPr>
      </w:pPr>
    </w:p>
    <w:p w14:paraId="54686324" w14:textId="532D9D37" w:rsidR="00287F12" w:rsidRPr="00287F12" w:rsidRDefault="00287F12" w:rsidP="00287F12">
      <w:pPr>
        <w:pStyle w:val="ListParagraph"/>
        <w:ind w:left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noProof/>
          <w:sz w:val="22"/>
          <w:szCs w:val="22"/>
        </w:rPr>
        <w:drawing>
          <wp:inline distT="0" distB="0" distL="0" distR="0" wp14:anchorId="27DB1D7D" wp14:editId="387A9EDF">
            <wp:extent cx="5971540" cy="2496185"/>
            <wp:effectExtent l="0" t="0" r="0" b="0"/>
            <wp:docPr id="64" name="Obrázo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033D2" w14:textId="77777777" w:rsidR="00287F12" w:rsidRPr="00287F12" w:rsidRDefault="00287F12" w:rsidP="00287F12">
      <w:pPr>
        <w:pStyle w:val="ListParagraph"/>
        <w:ind w:left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9C0CDAA" w14:textId="20B8C966" w:rsidR="00287F12" w:rsidRPr="00287F12" w:rsidRDefault="00287F12" w:rsidP="00287F12">
      <w:pPr>
        <w:pStyle w:val="ListParagraph"/>
        <w:ind w:left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noProof/>
          <w:sz w:val="22"/>
          <w:szCs w:val="22"/>
        </w:rPr>
        <w:drawing>
          <wp:inline distT="0" distB="0" distL="0" distR="0" wp14:anchorId="1C0716AF" wp14:editId="4C2E211A">
            <wp:extent cx="5971540" cy="1023620"/>
            <wp:effectExtent l="0" t="0" r="0" b="5080"/>
            <wp:docPr id="63" name="Obrázo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ECC72" w14:textId="77777777" w:rsidR="00287F12" w:rsidRPr="00287F12" w:rsidRDefault="00287F12" w:rsidP="00287F12">
      <w:pPr>
        <w:pStyle w:val="ListParagraph"/>
        <w:jc w:val="center"/>
        <w:rPr>
          <w:rFonts w:ascii="Cambria" w:hAnsi="Cambria"/>
          <w:color w:val="000000" w:themeColor="text1"/>
          <w:sz w:val="22"/>
          <w:szCs w:val="22"/>
        </w:rPr>
      </w:pPr>
    </w:p>
    <w:p w14:paraId="6B161B83" w14:textId="454110EB" w:rsidR="00287F12" w:rsidRPr="00287F12" w:rsidRDefault="00287F12" w:rsidP="00287F12">
      <w:pPr>
        <w:pStyle w:val="ListParagraph"/>
        <w:ind w:left="0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noProof/>
          <w:sz w:val="22"/>
          <w:szCs w:val="22"/>
        </w:rPr>
        <w:drawing>
          <wp:inline distT="0" distB="0" distL="0" distR="0" wp14:anchorId="56FDFBFC" wp14:editId="11856359">
            <wp:extent cx="5971540" cy="1052195"/>
            <wp:effectExtent l="0" t="0" r="0" b="0"/>
            <wp:docPr id="62" name="Obrázo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A5239" w14:textId="77777777" w:rsidR="00287F12" w:rsidRPr="00287F12" w:rsidRDefault="00287F12" w:rsidP="00287F12">
      <w:pPr>
        <w:pStyle w:val="ListParagraph"/>
        <w:ind w:left="0"/>
        <w:rPr>
          <w:rFonts w:ascii="Cambria" w:hAnsi="Cambria"/>
          <w:color w:val="000000" w:themeColor="text1"/>
          <w:sz w:val="22"/>
          <w:szCs w:val="22"/>
        </w:rPr>
      </w:pPr>
    </w:p>
    <w:p w14:paraId="54A12242" w14:textId="1DA6C004" w:rsidR="00287F12" w:rsidRPr="00287F12" w:rsidRDefault="00287F12" w:rsidP="00287F12">
      <w:pPr>
        <w:pStyle w:val="ListParagraph"/>
        <w:ind w:left="0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noProof/>
          <w:sz w:val="22"/>
          <w:szCs w:val="22"/>
        </w:rPr>
        <w:drawing>
          <wp:inline distT="0" distB="0" distL="0" distR="0" wp14:anchorId="68B8C62A" wp14:editId="3140CA89">
            <wp:extent cx="5971540" cy="953135"/>
            <wp:effectExtent l="0" t="0" r="0" b="0"/>
            <wp:docPr id="61" name="Obrázo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C17BE" w14:textId="77777777" w:rsidR="00287F12" w:rsidRPr="00287F12" w:rsidRDefault="00287F12" w:rsidP="00287F12">
      <w:pPr>
        <w:pStyle w:val="ListParagraph"/>
        <w:ind w:left="0"/>
        <w:rPr>
          <w:rFonts w:ascii="Cambria" w:hAnsi="Cambria"/>
          <w:color w:val="000000" w:themeColor="text1"/>
          <w:sz w:val="22"/>
          <w:szCs w:val="22"/>
        </w:rPr>
      </w:pPr>
    </w:p>
    <w:p w14:paraId="19179EBB" w14:textId="11B8C9DF" w:rsidR="00287F12" w:rsidRPr="00287F12" w:rsidRDefault="00287F12" w:rsidP="00287F12">
      <w:pPr>
        <w:pStyle w:val="ListParagraph"/>
        <w:ind w:left="0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noProof/>
          <w:sz w:val="22"/>
          <w:szCs w:val="22"/>
        </w:rPr>
        <w:drawing>
          <wp:inline distT="0" distB="0" distL="0" distR="0" wp14:anchorId="13972E60" wp14:editId="44231A67">
            <wp:extent cx="5971540" cy="1032510"/>
            <wp:effectExtent l="0" t="0" r="0" b="0"/>
            <wp:docPr id="60" name="Obrázo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12315" w14:textId="77777777" w:rsidR="00287F12" w:rsidRPr="00287F12" w:rsidRDefault="00287F12" w:rsidP="00287F12">
      <w:pPr>
        <w:pStyle w:val="ListParagraph"/>
        <w:ind w:left="0"/>
        <w:rPr>
          <w:rFonts w:ascii="Cambria" w:hAnsi="Cambria"/>
          <w:color w:val="000000" w:themeColor="text1"/>
          <w:sz w:val="22"/>
          <w:szCs w:val="22"/>
        </w:rPr>
      </w:pPr>
    </w:p>
    <w:p w14:paraId="0A1BAA7C" w14:textId="77777777" w:rsidR="00287F12" w:rsidRPr="00287F12" w:rsidRDefault="00287F12" w:rsidP="00287F12">
      <w:pPr>
        <w:pStyle w:val="ListParagraph"/>
        <w:ind w:left="0"/>
        <w:rPr>
          <w:rFonts w:ascii="Cambria" w:hAnsi="Cambria"/>
          <w:color w:val="000000" w:themeColor="text1"/>
          <w:sz w:val="22"/>
          <w:szCs w:val="22"/>
        </w:rPr>
      </w:pPr>
    </w:p>
    <w:p w14:paraId="6267FFF5" w14:textId="730925F1" w:rsidR="00287F12" w:rsidRPr="00287F12" w:rsidRDefault="00287F12" w:rsidP="00287F12">
      <w:pPr>
        <w:pStyle w:val="ListParagraph"/>
        <w:ind w:left="0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noProof/>
          <w:sz w:val="22"/>
          <w:szCs w:val="22"/>
        </w:rPr>
        <w:drawing>
          <wp:inline distT="0" distB="0" distL="0" distR="0" wp14:anchorId="29DAC8AE" wp14:editId="2884359A">
            <wp:extent cx="5971540" cy="998220"/>
            <wp:effectExtent l="0" t="0" r="0" b="0"/>
            <wp:docPr id="59" name="Obrázo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33A96" w14:textId="77777777" w:rsidR="00287F12" w:rsidRPr="00287F12" w:rsidRDefault="00287F12" w:rsidP="00287F12">
      <w:pPr>
        <w:pStyle w:val="ListParagraph"/>
        <w:ind w:left="0"/>
        <w:rPr>
          <w:rFonts w:ascii="Cambria" w:hAnsi="Cambria"/>
          <w:noProof/>
          <w:sz w:val="22"/>
          <w:szCs w:val="22"/>
        </w:rPr>
      </w:pPr>
    </w:p>
    <w:p w14:paraId="247B6B81" w14:textId="3A913857" w:rsidR="00287F12" w:rsidRPr="00287F12" w:rsidRDefault="00287F12" w:rsidP="00287F12">
      <w:pPr>
        <w:pStyle w:val="ListParagraph"/>
        <w:ind w:left="0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noProof/>
          <w:sz w:val="22"/>
          <w:szCs w:val="22"/>
        </w:rPr>
        <w:drawing>
          <wp:inline distT="0" distB="0" distL="0" distR="0" wp14:anchorId="495190B4" wp14:editId="4F63967E">
            <wp:extent cx="5971540" cy="1115060"/>
            <wp:effectExtent l="0" t="0" r="0" b="8890"/>
            <wp:docPr id="58" name="Obrázo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D0F8F" w14:textId="77777777" w:rsidR="00F43D91" w:rsidRDefault="00F43D91" w:rsidP="00287F12">
      <w:pPr>
        <w:jc w:val="center"/>
        <w:rPr>
          <w:rFonts w:ascii="Cambria" w:hAnsi="Cambria"/>
          <w:b/>
          <w:bCs/>
          <w:color w:val="000000"/>
          <w:sz w:val="22"/>
          <w:szCs w:val="22"/>
          <w:lang w:eastAsia="sk-SK"/>
        </w:rPr>
      </w:pPr>
      <w:bookmarkStart w:id="29" w:name="_Hlk148366320"/>
    </w:p>
    <w:p w14:paraId="2DD7F3A1" w14:textId="0B642721" w:rsidR="00287F12" w:rsidRDefault="00287F12" w:rsidP="00287F12">
      <w:pPr>
        <w:jc w:val="center"/>
        <w:rPr>
          <w:rFonts w:ascii="Cambria" w:hAnsi="Cambria"/>
          <w:b/>
          <w:bCs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b/>
          <w:bCs/>
          <w:color w:val="000000"/>
          <w:sz w:val="22"/>
          <w:szCs w:val="22"/>
          <w:lang w:eastAsia="sk-SK"/>
        </w:rPr>
        <w:t>Vysvetlivky na vypracúvanie výkazu Ps (NBS) 10-12</w:t>
      </w:r>
    </w:p>
    <w:p w14:paraId="1C3DC647" w14:textId="77777777" w:rsidR="00F43D91" w:rsidRPr="00287F12" w:rsidRDefault="00F43D91" w:rsidP="00287F12">
      <w:pPr>
        <w:jc w:val="center"/>
        <w:rPr>
          <w:rFonts w:ascii="Cambria" w:hAnsi="Cambria"/>
          <w:b/>
          <w:bCs/>
          <w:color w:val="000000"/>
          <w:sz w:val="22"/>
          <w:szCs w:val="22"/>
          <w:lang w:eastAsia="sk-SK"/>
        </w:rPr>
      </w:pPr>
    </w:p>
    <w:p w14:paraId="50AA3111" w14:textId="53A64F71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eastAsia="Calibri" w:hAnsi="Cambria"/>
          <w:color w:val="000000"/>
          <w:sz w:val="22"/>
          <w:szCs w:val="22"/>
          <w:lang w:eastAsia="sk-SK"/>
        </w:rPr>
      </w:pPr>
      <w:bookmarkStart w:id="30" w:name="_Hlk148364272"/>
      <w:r w:rsidRPr="00287F12">
        <w:rPr>
          <w:rFonts w:ascii="Cambria" w:eastAsia="Calibri" w:hAnsi="Cambria"/>
          <w:color w:val="000000"/>
          <w:sz w:val="22"/>
          <w:szCs w:val="22"/>
        </w:rPr>
        <w:t xml:space="preserve">Kartou sa rozumie platobná karta podľa </w:t>
      </w:r>
      <w:r w:rsidRPr="00287F12">
        <w:rPr>
          <w:rFonts w:ascii="Cambria" w:eastAsia="Calibri" w:hAnsi="Cambria"/>
          <w:color w:val="000000"/>
          <w:sz w:val="22"/>
          <w:szCs w:val="22"/>
          <w:lang w:eastAsia="sk-SK"/>
        </w:rPr>
        <w:t>§ 5 písm. l) zákona č. 483/2001 Z. z. o bankách a</w:t>
      </w:r>
      <w:r w:rsidR="00F43D91">
        <w:rPr>
          <w:rFonts w:ascii="Cambria" w:eastAsia="Calibri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eastAsia="Calibri" w:hAnsi="Cambria"/>
          <w:color w:val="000000"/>
          <w:sz w:val="22"/>
          <w:szCs w:val="22"/>
          <w:lang w:eastAsia="sk-SK"/>
        </w:rPr>
        <w:t>o</w:t>
      </w:r>
      <w:r w:rsidR="00F43D91">
        <w:rPr>
          <w:rFonts w:ascii="Cambria" w:eastAsia="Calibri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eastAsia="Calibri" w:hAnsi="Cambria"/>
          <w:color w:val="000000"/>
          <w:sz w:val="22"/>
          <w:szCs w:val="22"/>
          <w:lang w:eastAsia="sk-SK"/>
        </w:rPr>
        <w:t>zmene a doplnení niektorých zákonov v znení neskorších predpisov.</w:t>
      </w:r>
    </w:p>
    <w:p w14:paraId="2C294141" w14:textId="77777777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záhlaví v ľavom rohu sa pod slovami „Názov inštitúcie:“ uvádza obchodné meno banky alebo pobočky zahraničnej banky.</w:t>
      </w:r>
    </w:p>
    <w:p w14:paraId="45B9198E" w14:textId="3367AC46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Údaje sa vykazujú mesačne rezidentským poskytovateľom platobných služieb. Údaje sa</w:t>
      </w:r>
      <w:r w:rsidR="00F43D91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nevykazujú za pobočky v zahraničí alebo dcérske spoločnosti v zahraničí. </w:t>
      </w:r>
    </w:p>
    <w:p w14:paraId="6916263D" w14:textId="77777777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Počet vydaných kariet sa uvádza u vydavateľa vykazujúcej inštitúcie bez ohľadu na rezidenciu držiteľa karty alebo umiestnenie účtu, ku ktorému je karta vydaná.</w:t>
      </w:r>
    </w:p>
    <w:p w14:paraId="11C5E135" w14:textId="6F44F342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riadku č. 1 sa uvádza celkový počet kariet v obehu, ktorými sa uskutočňujú vklady a výbery hotovosti, okrem kariet, ktorým skončila platnosť používania.</w:t>
      </w:r>
    </w:p>
    <w:p w14:paraId="6F5D6912" w14:textId="77777777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riadku č. 2 sa uvádza celkový počet vydaných kariet s funkciou elektronických peňazí.</w:t>
      </w:r>
    </w:p>
    <w:p w14:paraId="6D94C7EE" w14:textId="77777777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riadku č. 2.1 sa uvádza celkový počet vydaných kariet, na ktorých sú elektronické peniaze uchovávané priamo, vrátane predplatených kariet uchovávajúcich elektronické peniaze priamo.</w:t>
      </w:r>
    </w:p>
    <w:p w14:paraId="7FC6E0FB" w14:textId="33077DC3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riadku č. 2.1.1 sa uvádza celkový počet vydaných kariet s funkciou elektronických peňazí, na</w:t>
      </w:r>
      <w:r w:rsidR="00C7274F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ktorých boli aspoň raz pripísané elektronické peniaze.</w:t>
      </w:r>
    </w:p>
    <w:p w14:paraId="0BB1F034" w14:textId="19B2C669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riadku č. 2.2 sa uvádza celkový počet vydaných kariet, ktoré umožňujú prístup k</w:t>
      </w:r>
      <w:r w:rsidR="00C7274F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elektronickým peniazom uloženým na účtoch elektronických peňazí, vrátane predplatených kariet umožňujúcich takýto prístup. </w:t>
      </w:r>
      <w:bookmarkStart w:id="31" w:name="_Hlk143005990"/>
      <w:r w:rsidRPr="00287F12">
        <w:rPr>
          <w:rFonts w:ascii="Cambria" w:hAnsi="Cambria"/>
          <w:color w:val="000000"/>
          <w:sz w:val="22"/>
          <w:szCs w:val="22"/>
          <w:lang w:eastAsia="sk-SK"/>
        </w:rPr>
        <w:t>Predplatenou kartou sa na účely tohto výkazu rozumie karta, na ktorej sú uchovávané elektronické peniaze priamo, alebo ktorá umožňuje prístup k</w:t>
      </w:r>
      <w:r w:rsidR="00C7274F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elektronickým peniazom na účtoch elektronických peňazí.</w:t>
      </w:r>
      <w:bookmarkEnd w:id="31"/>
    </w:p>
    <w:p w14:paraId="4458A779" w14:textId="77777777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riadku č. 3 sa uvádza celkový počet platných vydaných kariet v obehu, ktorými sa uskutočňujú platby, okrem kariet, ktorým skončila platnosť používania.</w:t>
      </w:r>
    </w:p>
    <w:p w14:paraId="181DA9B9" w14:textId="1D210C28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riadku č. 3.1 sa uvádza celkový počet debetných kariet s hotovostnou funkciou a funkciou elektronických peňazí.</w:t>
      </w:r>
    </w:p>
    <w:p w14:paraId="4504CCBD" w14:textId="77777777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riadku č. 3.2 sa uvádza celkový počet kariet s funkciou bezkontaktnej platby.</w:t>
      </w:r>
    </w:p>
    <w:p w14:paraId="642F40C8" w14:textId="77777777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riadku č. 4 sa uvádza počet kariet s platobnou funkciou. Príslušný kód pre typ karty sa uvádza zo zoskupenia v IS ŠZP CK066PS_10 a pre typ platobnej schémy zo zoskupenia v IS ŠZP CK191PS_10.</w:t>
      </w:r>
    </w:p>
    <w:p w14:paraId="03D5157F" w14:textId="77777777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riadkoch č. 1 a č. 4 sa karty zarátavajú v závislosti od funkcie kariet, ktoré spĺňajú. Ak karty spĺňajú obidve funkcie, zarátavajú sa do obidvoch riadkov.</w:t>
      </w:r>
    </w:p>
    <w:p w14:paraId="20A65EA3" w14:textId="52093CB4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lastRenderedPageBreak/>
        <w:t>V riadku č. 5 sa uvádza počet terminálov podľa typu zariadenia prevádzkovaných rezidentskými poskytovateľmi platobných služieb. Príslušný kód pre krajinu umiestnenia terminálu sa uvádza zo zoskupenia v IS ŠZP CK044GEO3 a pre typ zariadenia zo zoskupenia v</w:t>
      </w:r>
      <w:r w:rsidR="00C7274F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IS</w:t>
      </w:r>
      <w:r w:rsidR="00C7274F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ŠZP CK193PS_10.</w:t>
      </w:r>
    </w:p>
    <w:p w14:paraId="29896138" w14:textId="18309126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riadku č. 6 sa uvádza počet terminálov podľa platobnej schémy prevádzkovaných rezidentskými poskytovateľmi platobných služieb. Príslušný kód pre krajinu umiestnenia terminálu sa uvádza zo zoskupenia v IS ŠZP CK044GEO3, pre typ zariadenia zo zoskupenia v</w:t>
      </w:r>
      <w:r w:rsidR="00C7274F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IS</w:t>
      </w:r>
      <w:r w:rsidR="00C7274F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ŠZP CK193PS_10_2  a pre typ platobnej schémy zo zoskupenia v IS ŠZP CK191PS_10.</w:t>
      </w:r>
    </w:p>
    <w:p w14:paraId="16635832" w14:textId="743CDBC5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V riadku č. 7 sa uvádza počet a hodnota výberov hotovosti u vydavateľa karty, členených podľa typu transakcie, krajiny umiestnenia terminálu, typu zariadenia, typu karty a typu platobnej schémy. Príslušný kód pre typ transakcie sa uvádza zo zoskupenia v IS ŠZP CK065PS_10, pre</w:t>
      </w:r>
      <w:r w:rsidR="00C7274F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krajinu umiestnenia terminálu zo zoskupenia v IS ŠZP CK044Z04, pre typ zariadenia zo</w:t>
      </w:r>
      <w:r w:rsidR="00C7274F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zoskupenia v IS ŠZP CK193PS_10, pre typ karty zo zoskupenia v IS ŠZP CK066PS_10 a</w:t>
      </w:r>
      <w:r w:rsidR="00C7274F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pre</w:t>
      </w:r>
      <w:r w:rsidR="00C7274F">
        <w:rPr>
          <w:rFonts w:ascii="Cambria" w:hAnsi="Cambria"/>
          <w:color w:val="000000"/>
          <w:sz w:val="22"/>
          <w:szCs w:val="22"/>
          <w:lang w:eastAsia="sk-SK"/>
        </w:rPr>
        <w:t> 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>typ platobnej schémy zo zoskupenia v IS ŠZP CK191PS_10.</w:t>
      </w:r>
    </w:p>
    <w:p w14:paraId="7C3B2823" w14:textId="11CAF0F0" w:rsidR="00287F12" w:rsidRPr="00287F12" w:rsidRDefault="00287F12">
      <w:pPr>
        <w:pStyle w:val="ListParagraph"/>
        <w:numPr>
          <w:ilvl w:val="0"/>
          <w:numId w:val="28"/>
        </w:numPr>
        <w:ind w:left="426" w:hanging="426"/>
        <w:jc w:val="both"/>
        <w:rPr>
          <w:rFonts w:ascii="Cambria" w:hAnsi="Cambria"/>
          <w:color w:val="000000"/>
          <w:sz w:val="22"/>
          <w:szCs w:val="22"/>
        </w:rPr>
      </w:pPr>
      <w:r w:rsidRPr="00287F12">
        <w:rPr>
          <w:rFonts w:ascii="Cambria" w:hAnsi="Cambria"/>
          <w:color w:val="000000"/>
          <w:sz w:val="22"/>
          <w:szCs w:val="22"/>
        </w:rPr>
        <w:t>V riadku č. 8 sa uvádza počet a hodnota platobných transakcií u obchodníkov u vydavateľa karty, členených podľa typu transakcie, krajiny umiestnenia terminálu, typu zariadenia, typu karty a</w:t>
      </w:r>
      <w:r w:rsidR="00C35037">
        <w:rPr>
          <w:rFonts w:ascii="Cambria" w:hAnsi="Cambria"/>
          <w:color w:val="000000"/>
          <w:sz w:val="22"/>
          <w:szCs w:val="22"/>
        </w:rPr>
        <w:t> </w:t>
      </w:r>
      <w:r w:rsidRPr="00287F12">
        <w:rPr>
          <w:rFonts w:ascii="Cambria" w:hAnsi="Cambria"/>
          <w:color w:val="000000"/>
          <w:sz w:val="22"/>
          <w:szCs w:val="22"/>
        </w:rPr>
        <w:t>typu platobnej schémy. Príslušný kód pre typ transakcie sa uvádza zo zoskupenia v</w:t>
      </w:r>
      <w:r w:rsidR="00C35037">
        <w:rPr>
          <w:rFonts w:ascii="Cambria" w:hAnsi="Cambria"/>
          <w:color w:val="000000"/>
          <w:sz w:val="22"/>
          <w:szCs w:val="22"/>
        </w:rPr>
        <w:t> </w:t>
      </w:r>
      <w:r w:rsidRPr="00287F12">
        <w:rPr>
          <w:rFonts w:ascii="Cambria" w:hAnsi="Cambria"/>
          <w:color w:val="000000"/>
          <w:sz w:val="22"/>
          <w:szCs w:val="22"/>
        </w:rPr>
        <w:t>IS</w:t>
      </w:r>
      <w:r w:rsidR="00C35037">
        <w:rPr>
          <w:rFonts w:ascii="Cambria" w:hAnsi="Cambria"/>
          <w:color w:val="000000"/>
          <w:sz w:val="22"/>
          <w:szCs w:val="22"/>
        </w:rPr>
        <w:t> </w:t>
      </w:r>
      <w:r w:rsidRPr="00287F12">
        <w:rPr>
          <w:rFonts w:ascii="Cambria" w:hAnsi="Cambria"/>
          <w:color w:val="000000"/>
          <w:sz w:val="22"/>
          <w:szCs w:val="22"/>
        </w:rPr>
        <w:t>ŠZP CK065PS_10, pre krajinu umiestnenia terminálu zo zoskupenia v IS ŠZP CK044Z04, pre</w:t>
      </w:r>
      <w:r w:rsidR="00C35037">
        <w:rPr>
          <w:rFonts w:ascii="Cambria" w:hAnsi="Cambria"/>
          <w:color w:val="000000"/>
          <w:sz w:val="22"/>
          <w:szCs w:val="22"/>
        </w:rPr>
        <w:t> </w:t>
      </w:r>
      <w:r w:rsidRPr="00287F12">
        <w:rPr>
          <w:rFonts w:ascii="Cambria" w:hAnsi="Cambria"/>
          <w:color w:val="000000"/>
          <w:sz w:val="22"/>
          <w:szCs w:val="22"/>
        </w:rPr>
        <w:t xml:space="preserve">typ zariadenia zo zoskupenia v IS ŠZP CK193PS_10, pre typ karty zo zoskupenia v IS ŠZP CK066PS_10 a pre typ platobnej schémy zo zoskupenia v IS ŠZP CK191PS_10. </w:t>
      </w:r>
    </w:p>
    <w:p w14:paraId="047FCCD7" w14:textId="4D785D18" w:rsidR="00287F12" w:rsidRPr="00287F12" w:rsidRDefault="00287F12">
      <w:pPr>
        <w:numPr>
          <w:ilvl w:val="0"/>
          <w:numId w:val="28"/>
        </w:numPr>
        <w:ind w:left="426" w:hanging="426"/>
        <w:jc w:val="both"/>
        <w:rPr>
          <w:rFonts w:ascii="Cambria" w:eastAsia="Calibri" w:hAnsi="Cambria"/>
          <w:sz w:val="22"/>
          <w:szCs w:val="22"/>
        </w:rPr>
      </w:pPr>
      <w:r w:rsidRPr="00287F12">
        <w:rPr>
          <w:rFonts w:ascii="Cambria" w:eastAsia="Calibri" w:hAnsi="Cambria"/>
          <w:color w:val="000000"/>
          <w:sz w:val="22"/>
          <w:szCs w:val="22"/>
        </w:rPr>
        <w:t>V riadku č. 9 sa uvádza počet a hodnota platobných transakcií členených podľa typu terminálu u</w:t>
      </w:r>
      <w:r w:rsidR="00C35037">
        <w:rPr>
          <w:rFonts w:ascii="Cambria" w:eastAsia="Calibri" w:hAnsi="Cambria"/>
          <w:color w:val="000000"/>
          <w:sz w:val="22"/>
          <w:szCs w:val="22"/>
        </w:rPr>
        <w:t> </w:t>
      </w:r>
      <w:r w:rsidRPr="00287F12">
        <w:rPr>
          <w:rFonts w:ascii="Cambria" w:eastAsia="Calibri" w:hAnsi="Cambria"/>
          <w:color w:val="000000"/>
          <w:sz w:val="22"/>
          <w:szCs w:val="22"/>
        </w:rPr>
        <w:t>prijímateľa. Príslušný kód pre typ transakcie sa uvádza zo zoskupenia v IS ŠZP CK065PS_10, pre krajinu vydavateľa karty zo zoskupenia v IS ŠZP CK044Z04 a pre typ zariadenia zo</w:t>
      </w:r>
      <w:r w:rsidR="00C35037">
        <w:rPr>
          <w:rFonts w:ascii="Cambria" w:eastAsia="Calibri" w:hAnsi="Cambria"/>
          <w:color w:val="000000"/>
          <w:sz w:val="22"/>
          <w:szCs w:val="22"/>
        </w:rPr>
        <w:t> </w:t>
      </w:r>
      <w:r w:rsidRPr="00287F12">
        <w:rPr>
          <w:rFonts w:ascii="Cambria" w:eastAsia="Calibri" w:hAnsi="Cambria"/>
          <w:color w:val="000000"/>
          <w:sz w:val="22"/>
          <w:szCs w:val="22"/>
        </w:rPr>
        <w:t>zoskupenia v IS ŠZP CK193PS_10_3. </w:t>
      </w:r>
    </w:p>
    <w:p w14:paraId="20F34172" w14:textId="77777777" w:rsidR="00C35037" w:rsidRDefault="00287F12">
      <w:pPr>
        <w:numPr>
          <w:ilvl w:val="0"/>
          <w:numId w:val="28"/>
        </w:numPr>
        <w:ind w:left="426" w:hanging="426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Použité skratky</w:t>
      </w:r>
    </w:p>
    <w:p w14:paraId="3DE8E289" w14:textId="58F0DED3" w:rsidR="00C35037" w:rsidRDefault="00287F12" w:rsidP="00C35037">
      <w:pPr>
        <w:ind w:left="851" w:hanging="426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Č. r.</w:t>
      </w:r>
      <w:r w:rsidR="00C35037">
        <w:rPr>
          <w:rFonts w:ascii="Cambria" w:hAnsi="Cambria"/>
          <w:color w:val="000000"/>
          <w:sz w:val="22"/>
          <w:szCs w:val="22"/>
          <w:lang w:eastAsia="sk-SK"/>
        </w:rPr>
        <w:tab/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ab/>
        <w:t xml:space="preserve">-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ab/>
        <w:t>číslo riadku</w:t>
      </w:r>
    </w:p>
    <w:p w14:paraId="35E20CFA" w14:textId="24BE91B7" w:rsidR="00287F12" w:rsidRPr="00287F12" w:rsidRDefault="00287F12" w:rsidP="00C35037">
      <w:pPr>
        <w:ind w:left="851" w:hanging="426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>IS ŠZP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ab/>
        <w:t xml:space="preserve">-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ab/>
        <w:t>informačný systém Štatistický zberový portál</w:t>
      </w:r>
    </w:p>
    <w:p w14:paraId="3C18A77D" w14:textId="76D66014" w:rsidR="00287F12" w:rsidRPr="00287F12" w:rsidRDefault="00287F12" w:rsidP="00C35037">
      <w:pPr>
        <w:ind w:left="851" w:hanging="426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POS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ab/>
        <w:t xml:space="preserve">-  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ab/>
        <w:t xml:space="preserve">platobný terminál  </w:t>
      </w:r>
    </w:p>
    <w:p w14:paraId="18DE49FE" w14:textId="4965BDDC" w:rsidR="00287F12" w:rsidRPr="00287F12" w:rsidRDefault="00287F12" w:rsidP="00C35037">
      <w:pPr>
        <w:ind w:left="851" w:hanging="426"/>
        <w:rPr>
          <w:rFonts w:ascii="Cambria" w:hAnsi="Cambria"/>
          <w:color w:val="000000"/>
          <w:sz w:val="22"/>
          <w:szCs w:val="22"/>
          <w:lang w:eastAsia="sk-SK"/>
        </w:rPr>
      </w:pP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SR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ab/>
      </w:r>
      <w:r w:rsidR="00C35037">
        <w:rPr>
          <w:rFonts w:ascii="Cambria" w:hAnsi="Cambria"/>
          <w:color w:val="000000"/>
          <w:sz w:val="22"/>
          <w:szCs w:val="22"/>
          <w:lang w:eastAsia="sk-SK"/>
        </w:rPr>
        <w:tab/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 xml:space="preserve">- </w:t>
      </w:r>
      <w:r w:rsidRPr="00287F12">
        <w:rPr>
          <w:rFonts w:ascii="Cambria" w:hAnsi="Cambria"/>
          <w:color w:val="000000"/>
          <w:sz w:val="22"/>
          <w:szCs w:val="22"/>
          <w:lang w:eastAsia="sk-SK"/>
        </w:rPr>
        <w:tab/>
        <w:t>Slovenská republika</w:t>
      </w:r>
      <w:bookmarkEnd w:id="30"/>
      <w:r w:rsidRPr="00287F12">
        <w:rPr>
          <w:rFonts w:ascii="Cambria" w:hAnsi="Cambria"/>
          <w:color w:val="000000"/>
          <w:sz w:val="22"/>
          <w:szCs w:val="22"/>
          <w:lang w:eastAsia="sk-SK"/>
        </w:rPr>
        <w:t>.“.</w:t>
      </w:r>
    </w:p>
    <w:bookmarkEnd w:id="29"/>
    <w:p w14:paraId="22C9581D" w14:textId="77777777" w:rsidR="00287F12" w:rsidRPr="00287F12" w:rsidRDefault="00287F12" w:rsidP="00287F12">
      <w:pPr>
        <w:ind w:left="720"/>
        <w:contextualSpacing/>
        <w:rPr>
          <w:rFonts w:ascii="Cambria" w:hAnsi="Cambria"/>
          <w:color w:val="000000"/>
          <w:sz w:val="22"/>
          <w:szCs w:val="22"/>
          <w:lang w:eastAsia="sk-SK"/>
        </w:rPr>
      </w:pPr>
    </w:p>
    <w:p w14:paraId="214604EA" w14:textId="77777777" w:rsidR="00287F12" w:rsidRPr="00287F12" w:rsidRDefault="00287F12" w:rsidP="00287F12">
      <w:pPr>
        <w:jc w:val="center"/>
        <w:rPr>
          <w:rFonts w:ascii="Cambria" w:hAnsi="Cambria"/>
          <w:b/>
          <w:bCs/>
          <w:sz w:val="22"/>
          <w:szCs w:val="22"/>
        </w:rPr>
      </w:pPr>
      <w:r w:rsidRPr="00287F12">
        <w:rPr>
          <w:rFonts w:ascii="Cambria" w:hAnsi="Cambria"/>
          <w:b/>
          <w:bCs/>
          <w:sz w:val="22"/>
          <w:szCs w:val="22"/>
        </w:rPr>
        <w:t>Čl. II</w:t>
      </w:r>
    </w:p>
    <w:p w14:paraId="16373736" w14:textId="77777777" w:rsidR="00287F12" w:rsidRPr="00287F12" w:rsidRDefault="00287F12" w:rsidP="00287F12">
      <w:pPr>
        <w:pStyle w:val="ListParagraph"/>
        <w:ind w:left="0"/>
        <w:rPr>
          <w:rFonts w:ascii="Cambria" w:hAnsi="Cambria"/>
          <w:color w:val="000000" w:themeColor="text1"/>
          <w:sz w:val="22"/>
          <w:szCs w:val="22"/>
        </w:rPr>
      </w:pPr>
    </w:p>
    <w:p w14:paraId="5F4DE0EA" w14:textId="77777777" w:rsidR="00287F12" w:rsidRPr="00287F12" w:rsidRDefault="00287F12" w:rsidP="00C35037">
      <w:pPr>
        <w:pStyle w:val="Footer"/>
        <w:ind w:firstLine="709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87F12">
        <w:rPr>
          <w:rFonts w:ascii="Cambria" w:hAnsi="Cambria"/>
          <w:color w:val="000000" w:themeColor="text1"/>
          <w:sz w:val="22"/>
          <w:szCs w:val="22"/>
        </w:rPr>
        <w:t>Toto opatrenie nadobúda účinnosť 1. júla 2024, okrem čl. I bodov 2, 5 a 9, ktoré nadobúdajú účinnosť 1. januára 2025.</w:t>
      </w:r>
    </w:p>
    <w:p w14:paraId="49BA6A17" w14:textId="77777777" w:rsidR="00287F12" w:rsidRPr="00287F12" w:rsidRDefault="00287F12" w:rsidP="00287F12">
      <w:pPr>
        <w:pStyle w:val="Footer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4DE77C1" w14:textId="77777777" w:rsidR="00287F12" w:rsidRPr="00287F12" w:rsidRDefault="00287F12" w:rsidP="00287F12">
      <w:pPr>
        <w:pStyle w:val="Footer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5A511BC" w14:textId="77777777" w:rsidR="00287F12" w:rsidRPr="00287F12" w:rsidRDefault="00287F12" w:rsidP="00287F12">
      <w:pPr>
        <w:pStyle w:val="Footer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8A64558" w14:textId="77777777" w:rsidR="00287F12" w:rsidRPr="00287F12" w:rsidRDefault="00287F12" w:rsidP="00287F12">
      <w:pPr>
        <w:pStyle w:val="Footer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DBF181B" w14:textId="37696A4B" w:rsidR="00287F12" w:rsidRPr="008A65D7" w:rsidRDefault="00287F12" w:rsidP="00287F12">
      <w:pPr>
        <w:pStyle w:val="BodyText"/>
        <w:rPr>
          <w:rFonts w:ascii="Cambria" w:hAnsi="Cambria"/>
          <w:bCs w:val="0"/>
          <w:sz w:val="22"/>
          <w:szCs w:val="22"/>
        </w:rPr>
      </w:pPr>
      <w:r w:rsidRPr="00287F12">
        <w:rPr>
          <w:rFonts w:ascii="Cambria" w:hAnsi="Cambria"/>
          <w:bCs w:val="0"/>
          <w:color w:val="000000" w:themeColor="text1"/>
          <w:sz w:val="22"/>
          <w:szCs w:val="22"/>
        </w:rPr>
        <w:t xml:space="preserve">Peter </w:t>
      </w:r>
      <w:r w:rsidRPr="008A65D7">
        <w:rPr>
          <w:rFonts w:ascii="Cambria" w:hAnsi="Cambria"/>
          <w:bCs w:val="0"/>
          <w:sz w:val="22"/>
          <w:szCs w:val="22"/>
        </w:rPr>
        <w:t>Kažimír</w:t>
      </w:r>
      <w:r w:rsidR="00C35037" w:rsidRPr="008A65D7">
        <w:rPr>
          <w:rFonts w:ascii="Cambria" w:hAnsi="Cambria"/>
          <w:bCs w:val="0"/>
          <w:sz w:val="22"/>
          <w:szCs w:val="22"/>
        </w:rPr>
        <w:t xml:space="preserve"> v. r.</w:t>
      </w:r>
    </w:p>
    <w:p w14:paraId="270CCD87" w14:textId="77777777" w:rsidR="00287F12" w:rsidRPr="00287F12" w:rsidRDefault="00287F12" w:rsidP="00287F12">
      <w:pPr>
        <w:pStyle w:val="BodyText"/>
        <w:rPr>
          <w:rFonts w:ascii="Cambria" w:hAnsi="Cambria"/>
          <w:bCs w:val="0"/>
          <w:color w:val="000000" w:themeColor="text1"/>
          <w:sz w:val="22"/>
          <w:szCs w:val="22"/>
        </w:rPr>
      </w:pPr>
      <w:r w:rsidRPr="00287F12">
        <w:rPr>
          <w:rFonts w:ascii="Cambria" w:hAnsi="Cambria"/>
          <w:bCs w:val="0"/>
          <w:color w:val="000000" w:themeColor="text1"/>
          <w:sz w:val="22"/>
          <w:szCs w:val="22"/>
        </w:rPr>
        <w:t>guvernér</w:t>
      </w:r>
    </w:p>
    <w:p w14:paraId="3135887D" w14:textId="77777777" w:rsidR="00287F12" w:rsidRPr="00287F12" w:rsidRDefault="00287F12" w:rsidP="00287F12">
      <w:pPr>
        <w:pStyle w:val="BodyText"/>
        <w:jc w:val="left"/>
        <w:rPr>
          <w:rFonts w:ascii="Cambria" w:hAnsi="Cambria"/>
          <w:b w:val="0"/>
          <w:color w:val="000000" w:themeColor="text1"/>
          <w:sz w:val="22"/>
          <w:szCs w:val="22"/>
        </w:rPr>
      </w:pPr>
    </w:p>
    <w:p w14:paraId="049BC4FC" w14:textId="77777777" w:rsidR="00C35037" w:rsidRDefault="00C35037" w:rsidP="00287F12">
      <w:pPr>
        <w:pStyle w:val="BodyText"/>
        <w:jc w:val="left"/>
        <w:rPr>
          <w:rFonts w:ascii="Cambria" w:hAnsi="Cambria"/>
          <w:b w:val="0"/>
          <w:color w:val="000000" w:themeColor="text1"/>
          <w:sz w:val="22"/>
          <w:szCs w:val="22"/>
        </w:rPr>
      </w:pPr>
    </w:p>
    <w:p w14:paraId="09F05519" w14:textId="77777777" w:rsidR="00C35037" w:rsidRDefault="00C35037" w:rsidP="00287F12">
      <w:pPr>
        <w:pStyle w:val="BodyText"/>
        <w:jc w:val="left"/>
        <w:rPr>
          <w:rFonts w:ascii="Cambria" w:hAnsi="Cambria"/>
          <w:b w:val="0"/>
          <w:color w:val="000000" w:themeColor="text1"/>
          <w:sz w:val="22"/>
          <w:szCs w:val="22"/>
        </w:rPr>
      </w:pPr>
    </w:p>
    <w:p w14:paraId="552F4B61" w14:textId="77777777" w:rsidR="00C35037" w:rsidRDefault="00C35037" w:rsidP="00287F12">
      <w:pPr>
        <w:pStyle w:val="BodyText"/>
        <w:jc w:val="left"/>
        <w:rPr>
          <w:rFonts w:ascii="Cambria" w:hAnsi="Cambria"/>
          <w:b w:val="0"/>
          <w:color w:val="000000" w:themeColor="text1"/>
          <w:sz w:val="22"/>
          <w:szCs w:val="22"/>
        </w:rPr>
      </w:pPr>
    </w:p>
    <w:p w14:paraId="4F1C50F8" w14:textId="77777777" w:rsidR="00C35037" w:rsidRDefault="00C35037" w:rsidP="00287F12">
      <w:pPr>
        <w:pStyle w:val="BodyText"/>
        <w:jc w:val="left"/>
        <w:rPr>
          <w:rFonts w:ascii="Cambria" w:hAnsi="Cambria"/>
          <w:b w:val="0"/>
          <w:color w:val="000000" w:themeColor="text1"/>
          <w:sz w:val="22"/>
          <w:szCs w:val="22"/>
        </w:rPr>
      </w:pPr>
    </w:p>
    <w:p w14:paraId="4CBBD201" w14:textId="5F33F442" w:rsidR="00C35037" w:rsidRDefault="00C35037" w:rsidP="00287F12">
      <w:pPr>
        <w:pStyle w:val="BodyText"/>
        <w:jc w:val="left"/>
        <w:rPr>
          <w:rFonts w:ascii="Cambria" w:hAnsi="Cambria"/>
          <w:b w:val="0"/>
          <w:color w:val="000000" w:themeColor="text1"/>
          <w:sz w:val="22"/>
          <w:szCs w:val="22"/>
        </w:rPr>
      </w:pPr>
    </w:p>
    <w:p w14:paraId="2EAF352E" w14:textId="77777777" w:rsidR="00C35037" w:rsidRDefault="00C35037" w:rsidP="00287F12">
      <w:pPr>
        <w:pStyle w:val="BodyText"/>
        <w:jc w:val="left"/>
        <w:rPr>
          <w:rFonts w:ascii="Cambria" w:hAnsi="Cambria"/>
          <w:b w:val="0"/>
          <w:color w:val="000000" w:themeColor="text1"/>
          <w:sz w:val="22"/>
          <w:szCs w:val="22"/>
        </w:rPr>
      </w:pPr>
    </w:p>
    <w:p w14:paraId="1A60BD51" w14:textId="77777777" w:rsidR="00C35037" w:rsidRDefault="00C35037" w:rsidP="00287F12">
      <w:pPr>
        <w:pStyle w:val="BodyText"/>
        <w:jc w:val="left"/>
        <w:rPr>
          <w:rFonts w:ascii="Cambria" w:hAnsi="Cambria"/>
          <w:b w:val="0"/>
          <w:color w:val="000000" w:themeColor="text1"/>
          <w:sz w:val="22"/>
          <w:szCs w:val="22"/>
        </w:rPr>
      </w:pPr>
    </w:p>
    <w:p w14:paraId="6DC1F215" w14:textId="75F3C90F" w:rsidR="00287F12" w:rsidRPr="00287F12" w:rsidRDefault="00287F12" w:rsidP="00C35037">
      <w:pPr>
        <w:pStyle w:val="BodyText"/>
        <w:tabs>
          <w:tab w:val="left" w:pos="1843"/>
        </w:tabs>
        <w:jc w:val="left"/>
        <w:rPr>
          <w:rFonts w:ascii="Cambria" w:hAnsi="Cambria"/>
          <w:b w:val="0"/>
          <w:color w:val="000000" w:themeColor="text1"/>
          <w:sz w:val="22"/>
          <w:szCs w:val="22"/>
        </w:rPr>
      </w:pPr>
      <w:r w:rsidRPr="00287F12">
        <w:rPr>
          <w:rFonts w:ascii="Cambria" w:hAnsi="Cambria"/>
          <w:b w:val="0"/>
          <w:color w:val="000000" w:themeColor="text1"/>
          <w:sz w:val="22"/>
          <w:szCs w:val="22"/>
        </w:rPr>
        <w:t>Vydávajúci útvar:</w:t>
      </w:r>
      <w:r w:rsidR="00C35037">
        <w:rPr>
          <w:rFonts w:ascii="Cambria" w:hAnsi="Cambria"/>
          <w:b w:val="0"/>
          <w:color w:val="000000" w:themeColor="text1"/>
          <w:sz w:val="22"/>
          <w:szCs w:val="22"/>
        </w:rPr>
        <w:tab/>
      </w:r>
      <w:r w:rsidRPr="00287F12">
        <w:rPr>
          <w:rFonts w:ascii="Cambria" w:hAnsi="Cambria"/>
          <w:b w:val="0"/>
          <w:color w:val="000000" w:themeColor="text1"/>
          <w:sz w:val="22"/>
          <w:szCs w:val="22"/>
        </w:rPr>
        <w:t>odbor štatistiky</w:t>
      </w:r>
    </w:p>
    <w:sectPr w:rsidR="00287F12" w:rsidRPr="00287F12" w:rsidSect="00A94080">
      <w:headerReference w:type="even" r:id="rId17"/>
      <w:headerReference w:type="default" r:id="rId18"/>
      <w:pgSz w:w="12240" w:h="15840"/>
      <w:pgMar w:top="181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5D29" w14:textId="77777777" w:rsidR="00D66CA7" w:rsidRDefault="00D66CA7" w:rsidP="008D3676">
      <w:r>
        <w:separator/>
      </w:r>
    </w:p>
  </w:endnote>
  <w:endnote w:type="continuationSeparator" w:id="0">
    <w:p w14:paraId="7F2EA843" w14:textId="77777777" w:rsidR="00D66CA7" w:rsidRDefault="00D66CA7" w:rsidP="008D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2120" w14:textId="77777777" w:rsidR="00D66CA7" w:rsidRDefault="00D66CA7" w:rsidP="008D3676">
      <w:r>
        <w:separator/>
      </w:r>
    </w:p>
  </w:footnote>
  <w:footnote w:type="continuationSeparator" w:id="0">
    <w:p w14:paraId="60AEAB52" w14:textId="77777777" w:rsidR="00D66CA7" w:rsidRDefault="00D66CA7" w:rsidP="008D3676">
      <w:r>
        <w:continuationSeparator/>
      </w:r>
    </w:p>
  </w:footnote>
  <w:footnote w:id="1">
    <w:p w14:paraId="6CB53617" w14:textId="5D4FF535" w:rsidR="00287F12" w:rsidRDefault="00287F12" w:rsidP="003F75E2">
      <w:pPr>
        <w:pStyle w:val="FootnoteText"/>
        <w:ind w:left="426" w:hanging="426"/>
        <w:jc w:val="both"/>
        <w:rPr>
          <w:rFonts w:ascii="Cambria" w:hAnsi="Cambria"/>
          <w:sz w:val="16"/>
          <w:szCs w:val="16"/>
          <w:lang w:val="sk-SK"/>
        </w:rPr>
      </w:pPr>
      <w:r>
        <w:rPr>
          <w:rStyle w:val="FootnoteReference"/>
          <w:rFonts w:ascii="Cambria" w:hAnsi="Cambria"/>
          <w:sz w:val="16"/>
          <w:szCs w:val="16"/>
        </w:rPr>
        <w:t>1</w:t>
      </w:r>
      <w:r>
        <w:rPr>
          <w:rFonts w:ascii="Cambria" w:hAnsi="Cambria"/>
          <w:sz w:val="16"/>
          <w:szCs w:val="16"/>
          <w:lang w:val="sk-SK"/>
        </w:rPr>
        <w:t>)</w:t>
      </w:r>
      <w:r w:rsidR="003F75E2">
        <w:rPr>
          <w:rFonts w:ascii="Cambria" w:hAnsi="Cambria"/>
          <w:sz w:val="16"/>
          <w:szCs w:val="16"/>
          <w:lang w:val="sk-SK"/>
        </w:rPr>
        <w:tab/>
      </w:r>
      <w:r>
        <w:rPr>
          <w:rFonts w:ascii="Cambria" w:hAnsi="Cambria"/>
          <w:sz w:val="16"/>
          <w:szCs w:val="16"/>
          <w:lang w:val="sk-SK"/>
        </w:rPr>
        <w:t>Nariadenie Európskeho parlamentu a Rady (EÚ) č. 549/2013 z 21. mája 2013 o európskom systéme národných a regionálnych účtov v Európskej únii (Ú. v. EÚ L 174, 26.6.2013) v platnom znení.</w:t>
      </w:r>
    </w:p>
  </w:footnote>
  <w:footnote w:id="2">
    <w:p w14:paraId="7EE90863" w14:textId="32D43ECC" w:rsidR="00287F12" w:rsidRDefault="00287F12" w:rsidP="003F75E2">
      <w:pPr>
        <w:pStyle w:val="FootnoteText"/>
        <w:ind w:left="426" w:hanging="426"/>
        <w:jc w:val="both"/>
        <w:rPr>
          <w:rFonts w:ascii="Cambria" w:hAnsi="Cambria"/>
          <w:sz w:val="16"/>
          <w:szCs w:val="16"/>
          <w:lang w:val="sk-SK"/>
        </w:rPr>
      </w:pPr>
      <w:r>
        <w:rPr>
          <w:rStyle w:val="FootnoteReference"/>
          <w:rFonts w:ascii="Cambria" w:hAnsi="Cambria"/>
          <w:sz w:val="16"/>
          <w:szCs w:val="16"/>
          <w:lang w:val="sk-SK"/>
        </w:rPr>
        <w:t>2</w:t>
      </w:r>
      <w:r>
        <w:rPr>
          <w:rFonts w:ascii="Cambria" w:hAnsi="Cambria"/>
          <w:sz w:val="16"/>
          <w:szCs w:val="16"/>
          <w:lang w:val="sk-SK"/>
        </w:rPr>
        <w:t>)</w:t>
      </w:r>
      <w:r w:rsidR="003F75E2">
        <w:rPr>
          <w:rFonts w:ascii="Cambria" w:hAnsi="Cambria"/>
          <w:sz w:val="16"/>
          <w:szCs w:val="16"/>
          <w:lang w:val="sk-SK"/>
        </w:rPr>
        <w:tab/>
      </w:r>
      <w:r>
        <w:rPr>
          <w:rFonts w:ascii="Cambria" w:hAnsi="Cambria"/>
          <w:sz w:val="16"/>
          <w:szCs w:val="16"/>
          <w:lang w:val="sk-SK"/>
        </w:rPr>
        <w:t>Vyhláška Štatistického úradu Slovenskej republiky č. 306/2007 Z. z., ktorou sa vydáva Štatistická klasifikácia ekonomických činností.</w:t>
      </w:r>
    </w:p>
  </w:footnote>
  <w:footnote w:id="3">
    <w:p w14:paraId="4CF3BDDE" w14:textId="4A019D3D" w:rsidR="00287F12" w:rsidRDefault="00287F12" w:rsidP="003F75E2">
      <w:pPr>
        <w:pStyle w:val="FootnoteText"/>
        <w:ind w:left="426" w:hanging="426"/>
        <w:jc w:val="both"/>
        <w:rPr>
          <w:lang w:val="sk-SK"/>
        </w:rPr>
      </w:pPr>
      <w:r>
        <w:rPr>
          <w:rStyle w:val="FootnoteReference"/>
          <w:rFonts w:ascii="Cambria" w:hAnsi="Cambria"/>
          <w:sz w:val="16"/>
          <w:szCs w:val="16"/>
          <w:lang w:val="sk-SK"/>
        </w:rPr>
        <w:t>3</w:t>
      </w:r>
      <w:r>
        <w:rPr>
          <w:rFonts w:ascii="Cambria" w:hAnsi="Cambria"/>
          <w:sz w:val="16"/>
          <w:szCs w:val="16"/>
          <w:lang w:val="sk-SK"/>
        </w:rPr>
        <w:t>)</w:t>
      </w:r>
      <w:r w:rsidR="003F75E2">
        <w:rPr>
          <w:rFonts w:ascii="Cambria" w:hAnsi="Cambria"/>
          <w:sz w:val="16"/>
          <w:szCs w:val="16"/>
          <w:lang w:val="sk-SK"/>
        </w:rPr>
        <w:tab/>
      </w:r>
      <w:r>
        <w:rPr>
          <w:rFonts w:ascii="Cambria" w:hAnsi="Cambria"/>
          <w:sz w:val="16"/>
          <w:szCs w:val="16"/>
          <w:lang w:val="sk-SK"/>
        </w:rPr>
        <w:t>Čl. 178 nariadenia Európskeho parlamentu a Rady (EÚ) č. 575/2013 z 26. júna 2013 o prudenciálnych požiadavkách na úverové inštitúcie a investičné spoločnosti a o zmene nariadenia (EÚ) č. 648/2012 (Ú. v. EÚ, L 176, 27.6.2013) v platnom znení.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i/>
        <w:sz w:val="16"/>
        <w:szCs w:val="16"/>
      </w:rPr>
      <w:id w:val="82273349"/>
      <w:docPartObj>
        <w:docPartGallery w:val="Page Numbers (Top of Page)"/>
        <w:docPartUnique/>
      </w:docPartObj>
    </w:sdtPr>
    <w:sdtEndPr/>
    <w:sdtContent>
      <w:p w14:paraId="034F9243" w14:textId="570864C4" w:rsidR="00A94080" w:rsidRDefault="00A94080" w:rsidP="00A94080">
        <w:pPr>
          <w:pStyle w:val="Header"/>
          <w:tabs>
            <w:tab w:val="clear" w:pos="4536"/>
            <w:tab w:val="clear" w:pos="9072"/>
            <w:tab w:val="center" w:pos="4395"/>
            <w:tab w:val="right" w:pos="9070"/>
          </w:tabs>
          <w:rPr>
            <w:rFonts w:ascii="Verdana" w:hAnsi="Verdana"/>
            <w:iCs/>
            <w:sz w:val="16"/>
            <w:szCs w:val="16"/>
          </w:rPr>
        </w:pPr>
        <w:r>
          <w:rPr>
            <w:rFonts w:ascii="Verdana" w:hAnsi="Verdana"/>
            <w:iCs/>
            <w:sz w:val="16"/>
            <w:szCs w:val="16"/>
          </w:rPr>
          <w:fldChar w:fldCharType="begin"/>
        </w:r>
        <w:r>
          <w:rPr>
            <w:rFonts w:ascii="Verdana" w:hAnsi="Verdana"/>
            <w:iCs/>
            <w:sz w:val="16"/>
            <w:szCs w:val="16"/>
          </w:rPr>
          <w:instrText xml:space="preserve"> PAGE </w:instrText>
        </w:r>
        <w:r>
          <w:rPr>
            <w:rFonts w:ascii="Verdana" w:hAnsi="Verdana"/>
            <w:iCs/>
            <w:sz w:val="16"/>
            <w:szCs w:val="16"/>
          </w:rPr>
          <w:fldChar w:fldCharType="separate"/>
        </w:r>
        <w:r>
          <w:rPr>
            <w:rFonts w:ascii="Verdana" w:hAnsi="Verdana"/>
            <w:iCs/>
            <w:sz w:val="16"/>
            <w:szCs w:val="16"/>
          </w:rPr>
          <w:t>2</w:t>
        </w:r>
        <w:r>
          <w:rPr>
            <w:rFonts w:ascii="Verdana" w:hAnsi="Verdana"/>
            <w:iCs/>
            <w:sz w:val="16"/>
            <w:szCs w:val="16"/>
          </w:rPr>
          <w:fldChar w:fldCharType="end"/>
        </w:r>
        <w:r>
          <w:rPr>
            <w:rFonts w:ascii="Verdana" w:hAnsi="Verdana"/>
            <w:iCs/>
            <w:sz w:val="16"/>
            <w:szCs w:val="16"/>
          </w:rPr>
          <w:tab/>
        </w:r>
        <w:r w:rsidRPr="00A86D2B">
          <w:rPr>
            <w:rFonts w:ascii="Verdana" w:hAnsi="Verdana"/>
            <w:iCs/>
            <w:sz w:val="16"/>
            <w:szCs w:val="16"/>
          </w:rPr>
          <w:t xml:space="preserve">Vestník NBS – </w:t>
        </w:r>
        <w:r>
          <w:rPr>
            <w:rFonts w:ascii="Verdana" w:hAnsi="Verdana"/>
            <w:sz w:val="16"/>
            <w:szCs w:val="16"/>
          </w:rPr>
          <w:t>opatrenie NBS č. 12/2023</w:t>
        </w:r>
        <w:r>
          <w:rPr>
            <w:rFonts w:ascii="Verdana" w:hAnsi="Verdana"/>
            <w:iCs/>
            <w:sz w:val="16"/>
            <w:szCs w:val="16"/>
          </w:rPr>
          <w:tab/>
          <w:t>čiastka 61/2023</w:t>
        </w:r>
      </w:p>
      <w:p w14:paraId="1EAAC87E" w14:textId="77777777" w:rsidR="00A94080" w:rsidRDefault="00A94080" w:rsidP="00A94080">
        <w:pPr>
          <w:pStyle w:val="Header"/>
          <w:tabs>
            <w:tab w:val="clear" w:pos="4536"/>
            <w:tab w:val="center" w:pos="4111"/>
          </w:tabs>
          <w:rPr>
            <w:rFonts w:ascii="Verdana" w:hAnsi="Verdana"/>
            <w:i/>
            <w:sz w:val="16"/>
            <w:szCs w:val="16"/>
          </w:rPr>
        </w:pPr>
        <w:r>
          <w:rPr>
            <w:rFonts w:ascii="Verdana" w:hAnsi="Verdana"/>
            <w:i/>
            <w:sz w:val="16"/>
            <w:szCs w:val="16"/>
          </w:rPr>
          <w:t>_________________________________________________________________________________________</w:t>
        </w:r>
      </w:p>
      <w:p w14:paraId="18DA4D70" w14:textId="77777777" w:rsidR="00A94080" w:rsidRPr="00FF7A80" w:rsidRDefault="00284233" w:rsidP="00A94080">
        <w:pPr>
          <w:pStyle w:val="Header"/>
          <w:jc w:val="both"/>
          <w:rPr>
            <w:rFonts w:ascii="Verdana" w:hAnsi="Verdana"/>
            <w:i/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519304"/>
      <w:docPartObj>
        <w:docPartGallery w:val="Page Numbers (Top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42A6C8C" w14:textId="4168ABD3" w:rsidR="006C6681" w:rsidRPr="00A86D2B" w:rsidRDefault="006C6681" w:rsidP="00A94080">
        <w:pPr>
          <w:pStyle w:val="Header"/>
          <w:rPr>
            <w:rFonts w:ascii="Verdana" w:hAnsi="Verdana"/>
            <w:sz w:val="16"/>
            <w:szCs w:val="16"/>
          </w:rPr>
        </w:pPr>
        <w:r w:rsidRPr="00A86D2B">
          <w:rPr>
            <w:rFonts w:ascii="Verdana" w:hAnsi="Verdana"/>
            <w:iCs/>
            <w:sz w:val="16"/>
            <w:szCs w:val="16"/>
          </w:rPr>
          <w:t xml:space="preserve">čiastka </w:t>
        </w:r>
        <w:r>
          <w:rPr>
            <w:rFonts w:ascii="Verdana" w:hAnsi="Verdana"/>
            <w:iCs/>
            <w:sz w:val="16"/>
            <w:szCs w:val="16"/>
          </w:rPr>
          <w:t>61</w:t>
        </w:r>
        <w:r w:rsidRPr="00A86D2B">
          <w:rPr>
            <w:rFonts w:ascii="Verdana" w:hAnsi="Verdana"/>
            <w:iCs/>
            <w:sz w:val="16"/>
            <w:szCs w:val="16"/>
          </w:rPr>
          <w:t>/2023</w:t>
        </w:r>
        <w:r w:rsidRPr="00A86D2B">
          <w:rPr>
            <w:rFonts w:ascii="Verdana" w:hAnsi="Verdana"/>
            <w:sz w:val="16"/>
            <w:szCs w:val="16"/>
          </w:rPr>
          <w:tab/>
        </w:r>
        <w:r w:rsidRPr="00A86D2B">
          <w:rPr>
            <w:rFonts w:ascii="Verdana" w:hAnsi="Verdana"/>
            <w:iCs/>
            <w:sz w:val="16"/>
            <w:szCs w:val="16"/>
          </w:rPr>
          <w:t xml:space="preserve">Vestník NBS – </w:t>
        </w:r>
        <w:r>
          <w:rPr>
            <w:rFonts w:ascii="Verdana" w:hAnsi="Verdana"/>
            <w:sz w:val="16"/>
            <w:szCs w:val="16"/>
          </w:rPr>
          <w:t>opatrenie NBS č. 12/2023</w:t>
        </w:r>
        <w:r w:rsidRPr="00A86D2B">
          <w:rPr>
            <w:rFonts w:ascii="Verdana" w:hAnsi="Verdana"/>
            <w:iCs/>
            <w:sz w:val="16"/>
            <w:szCs w:val="16"/>
          </w:rPr>
          <w:tab/>
        </w:r>
        <w:r w:rsidRPr="00A86D2B">
          <w:rPr>
            <w:rFonts w:ascii="Verdana" w:hAnsi="Verdana"/>
            <w:sz w:val="16"/>
            <w:szCs w:val="16"/>
          </w:rPr>
          <w:fldChar w:fldCharType="begin"/>
        </w:r>
        <w:r w:rsidRPr="00A86D2B">
          <w:rPr>
            <w:rFonts w:ascii="Verdana" w:hAnsi="Verdana"/>
            <w:sz w:val="16"/>
            <w:szCs w:val="16"/>
          </w:rPr>
          <w:instrText>PAGE   \* MERGEFORMAT</w:instrText>
        </w:r>
        <w:r w:rsidRPr="00A86D2B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sz w:val="16"/>
            <w:szCs w:val="16"/>
          </w:rPr>
          <w:t>1</w:t>
        </w:r>
        <w:r w:rsidRPr="00A86D2B">
          <w:rPr>
            <w:rFonts w:ascii="Verdana" w:hAnsi="Verdana"/>
            <w:sz w:val="16"/>
            <w:szCs w:val="16"/>
          </w:rPr>
          <w:fldChar w:fldCharType="end"/>
        </w:r>
      </w:p>
      <w:p w14:paraId="6A92E709" w14:textId="77777777" w:rsidR="006C6681" w:rsidRPr="00A86D2B" w:rsidRDefault="00284233" w:rsidP="00A94080">
        <w:pPr>
          <w:pStyle w:val="Header"/>
          <w:rPr>
            <w:rFonts w:ascii="Verdana" w:hAnsi="Verdana"/>
            <w:sz w:val="16"/>
            <w:szCs w:val="16"/>
          </w:rPr>
        </w:pPr>
        <w:sdt>
          <w:sdtPr>
            <w:id w:val="-1868515943"/>
            <w:docPartObj>
              <w:docPartGallery w:val="Page Numbers (Top of Page)"/>
              <w:docPartUnique/>
            </w:docPartObj>
          </w:sdtPr>
          <w:sdtEndPr>
            <w:rPr>
              <w:rFonts w:ascii="Verdana" w:hAnsi="Verdana"/>
              <w:sz w:val="16"/>
              <w:szCs w:val="16"/>
            </w:rPr>
          </w:sdtEndPr>
          <w:sdtContent>
            <w:r w:rsidR="006C6681" w:rsidRPr="00A86D2B">
              <w:rPr>
                <w:rFonts w:ascii="Verdana" w:hAnsi="Verdana"/>
                <w:iCs/>
                <w:sz w:val="16"/>
                <w:szCs w:val="16"/>
              </w:rPr>
              <w:t>________________________________________________________________________________________</w:t>
            </w:r>
          </w:sdtContent>
        </w:sdt>
        <w:r w:rsidR="006C6681" w:rsidRPr="00A86D2B">
          <w:rPr>
            <w:rFonts w:ascii="Verdana" w:hAnsi="Verdana"/>
            <w:sz w:val="16"/>
            <w:szCs w:val="16"/>
          </w:rPr>
          <w:t>_</w:t>
        </w:r>
      </w:p>
    </w:sdtContent>
  </w:sdt>
  <w:p w14:paraId="20B63C9B" w14:textId="77777777" w:rsidR="006C6681" w:rsidRDefault="006C6681" w:rsidP="00A94080">
    <w:pPr>
      <w:pStyle w:val="Header"/>
      <w:tabs>
        <w:tab w:val="clear" w:pos="4536"/>
        <w:tab w:val="center" w:pos="43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31B2"/>
    <w:multiLevelType w:val="hybridMultilevel"/>
    <w:tmpl w:val="843ED636"/>
    <w:lvl w:ilvl="0" w:tplc="BB5A267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5DF6426"/>
    <w:multiLevelType w:val="hybridMultilevel"/>
    <w:tmpl w:val="94B6B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0548"/>
    <w:multiLevelType w:val="hybridMultilevel"/>
    <w:tmpl w:val="79B0FA5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D21D2"/>
    <w:multiLevelType w:val="hybridMultilevel"/>
    <w:tmpl w:val="28CC99C8"/>
    <w:lvl w:ilvl="0" w:tplc="630064CA">
      <w:start w:val="1"/>
      <w:numFmt w:val="lowerLetter"/>
      <w:lvlText w:val="%1)"/>
      <w:lvlJc w:val="left"/>
      <w:pPr>
        <w:ind w:left="2203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923" w:hanging="360"/>
      </w:pPr>
    </w:lvl>
    <w:lvl w:ilvl="2" w:tplc="041B001B" w:tentative="1">
      <w:start w:val="1"/>
      <w:numFmt w:val="lowerRoman"/>
      <w:lvlText w:val="%3."/>
      <w:lvlJc w:val="right"/>
      <w:pPr>
        <w:ind w:left="3643" w:hanging="180"/>
      </w:pPr>
    </w:lvl>
    <w:lvl w:ilvl="3" w:tplc="041B000F" w:tentative="1">
      <w:start w:val="1"/>
      <w:numFmt w:val="decimal"/>
      <w:lvlText w:val="%4."/>
      <w:lvlJc w:val="left"/>
      <w:pPr>
        <w:ind w:left="4363" w:hanging="360"/>
      </w:pPr>
    </w:lvl>
    <w:lvl w:ilvl="4" w:tplc="041B0019" w:tentative="1">
      <w:start w:val="1"/>
      <w:numFmt w:val="lowerLetter"/>
      <w:lvlText w:val="%5."/>
      <w:lvlJc w:val="left"/>
      <w:pPr>
        <w:ind w:left="5083" w:hanging="360"/>
      </w:pPr>
    </w:lvl>
    <w:lvl w:ilvl="5" w:tplc="041B001B" w:tentative="1">
      <w:start w:val="1"/>
      <w:numFmt w:val="lowerRoman"/>
      <w:lvlText w:val="%6."/>
      <w:lvlJc w:val="right"/>
      <w:pPr>
        <w:ind w:left="5803" w:hanging="180"/>
      </w:pPr>
    </w:lvl>
    <w:lvl w:ilvl="6" w:tplc="041B000F" w:tentative="1">
      <w:start w:val="1"/>
      <w:numFmt w:val="decimal"/>
      <w:lvlText w:val="%7."/>
      <w:lvlJc w:val="left"/>
      <w:pPr>
        <w:ind w:left="6523" w:hanging="360"/>
      </w:pPr>
    </w:lvl>
    <w:lvl w:ilvl="7" w:tplc="041B0019" w:tentative="1">
      <w:start w:val="1"/>
      <w:numFmt w:val="lowerLetter"/>
      <w:lvlText w:val="%8."/>
      <w:lvlJc w:val="left"/>
      <w:pPr>
        <w:ind w:left="7243" w:hanging="360"/>
      </w:pPr>
    </w:lvl>
    <w:lvl w:ilvl="8" w:tplc="041B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0FB24A52"/>
    <w:multiLevelType w:val="hybridMultilevel"/>
    <w:tmpl w:val="8F72754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24EC61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4209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CB0402"/>
    <w:multiLevelType w:val="hybridMultilevel"/>
    <w:tmpl w:val="79B0FA5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CC3E49"/>
    <w:multiLevelType w:val="hybridMultilevel"/>
    <w:tmpl w:val="E9004C5E"/>
    <w:lvl w:ilvl="0" w:tplc="5192A1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42C75"/>
    <w:multiLevelType w:val="hybridMultilevel"/>
    <w:tmpl w:val="35404E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12D"/>
    <w:multiLevelType w:val="hybridMultilevel"/>
    <w:tmpl w:val="A67A04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21079"/>
    <w:multiLevelType w:val="hybridMultilevel"/>
    <w:tmpl w:val="4E1AB500"/>
    <w:lvl w:ilvl="0" w:tplc="B2420996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  <w:rPr>
        <w:rFonts w:cs="Times New Roman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265545C6"/>
    <w:multiLevelType w:val="hybridMultilevel"/>
    <w:tmpl w:val="28CC99C8"/>
    <w:lvl w:ilvl="0" w:tplc="630064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5124"/>
    <w:multiLevelType w:val="hybridMultilevel"/>
    <w:tmpl w:val="7DF6BD46"/>
    <w:lvl w:ilvl="0" w:tplc="A1B62D08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63B76"/>
    <w:multiLevelType w:val="hybridMultilevel"/>
    <w:tmpl w:val="962CB920"/>
    <w:lvl w:ilvl="0" w:tplc="B24209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4667219"/>
    <w:multiLevelType w:val="hybridMultilevel"/>
    <w:tmpl w:val="28CC99C8"/>
    <w:lvl w:ilvl="0" w:tplc="630064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03366"/>
    <w:multiLevelType w:val="hybridMultilevel"/>
    <w:tmpl w:val="FA5AF4E2"/>
    <w:lvl w:ilvl="0" w:tplc="41106370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31998"/>
    <w:multiLevelType w:val="hybridMultilevel"/>
    <w:tmpl w:val="0D8AE18C"/>
    <w:lvl w:ilvl="0" w:tplc="041B0017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4D1300"/>
    <w:multiLevelType w:val="hybridMultilevel"/>
    <w:tmpl w:val="13C265C0"/>
    <w:lvl w:ilvl="0" w:tplc="B2420996">
      <w:start w:val="1"/>
      <w:numFmt w:val="decimal"/>
      <w:lvlText w:val="%1."/>
      <w:lvlJc w:val="left"/>
      <w:pPr>
        <w:tabs>
          <w:tab w:val="num" w:pos="2738"/>
        </w:tabs>
        <w:ind w:left="2738" w:hanging="360"/>
      </w:pPr>
      <w:rPr>
        <w:rFonts w:cs="Times New Roman"/>
        <w:b w:val="0"/>
        <w:bCs/>
      </w:rPr>
    </w:lvl>
    <w:lvl w:ilvl="1" w:tplc="041B0019">
      <w:start w:val="1"/>
      <w:numFmt w:val="lowerLetter"/>
      <w:lvlText w:val="%2."/>
      <w:lvlJc w:val="left"/>
      <w:pPr>
        <w:ind w:left="3676" w:hanging="360"/>
      </w:pPr>
    </w:lvl>
    <w:lvl w:ilvl="2" w:tplc="041B001B">
      <w:start w:val="1"/>
      <w:numFmt w:val="lowerRoman"/>
      <w:lvlText w:val="%3."/>
      <w:lvlJc w:val="right"/>
      <w:pPr>
        <w:ind w:left="4396" w:hanging="180"/>
      </w:pPr>
    </w:lvl>
    <w:lvl w:ilvl="3" w:tplc="041B000F">
      <w:start w:val="1"/>
      <w:numFmt w:val="decimal"/>
      <w:lvlText w:val="%4."/>
      <w:lvlJc w:val="left"/>
      <w:pPr>
        <w:ind w:left="5116" w:hanging="360"/>
      </w:pPr>
    </w:lvl>
    <w:lvl w:ilvl="4" w:tplc="041B0019">
      <w:start w:val="1"/>
      <w:numFmt w:val="lowerLetter"/>
      <w:lvlText w:val="%5."/>
      <w:lvlJc w:val="left"/>
      <w:pPr>
        <w:ind w:left="5836" w:hanging="360"/>
      </w:pPr>
    </w:lvl>
    <w:lvl w:ilvl="5" w:tplc="041B001B">
      <w:start w:val="1"/>
      <w:numFmt w:val="lowerRoman"/>
      <w:lvlText w:val="%6."/>
      <w:lvlJc w:val="right"/>
      <w:pPr>
        <w:ind w:left="6556" w:hanging="180"/>
      </w:pPr>
    </w:lvl>
    <w:lvl w:ilvl="6" w:tplc="041B000F">
      <w:start w:val="1"/>
      <w:numFmt w:val="decimal"/>
      <w:lvlText w:val="%7."/>
      <w:lvlJc w:val="left"/>
      <w:pPr>
        <w:ind w:left="7276" w:hanging="360"/>
      </w:pPr>
    </w:lvl>
    <w:lvl w:ilvl="7" w:tplc="041B0019">
      <w:start w:val="1"/>
      <w:numFmt w:val="lowerLetter"/>
      <w:lvlText w:val="%8."/>
      <w:lvlJc w:val="left"/>
      <w:pPr>
        <w:ind w:left="7996" w:hanging="360"/>
      </w:pPr>
    </w:lvl>
    <w:lvl w:ilvl="8" w:tplc="041B001B">
      <w:start w:val="1"/>
      <w:numFmt w:val="lowerRoman"/>
      <w:lvlText w:val="%9."/>
      <w:lvlJc w:val="right"/>
      <w:pPr>
        <w:ind w:left="8716" w:hanging="180"/>
      </w:pPr>
    </w:lvl>
  </w:abstractNum>
  <w:abstractNum w:abstractNumId="17" w15:restartNumberingAfterBreak="0">
    <w:nsid w:val="443F5E58"/>
    <w:multiLevelType w:val="hybridMultilevel"/>
    <w:tmpl w:val="F4FC1E7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A04835"/>
    <w:multiLevelType w:val="hybridMultilevel"/>
    <w:tmpl w:val="28CC99C8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513AC"/>
    <w:multiLevelType w:val="hybridMultilevel"/>
    <w:tmpl w:val="CE96DF8E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D6648"/>
    <w:multiLevelType w:val="hybridMultilevel"/>
    <w:tmpl w:val="FE021860"/>
    <w:lvl w:ilvl="0" w:tplc="B242099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9153B5"/>
    <w:multiLevelType w:val="hybridMultilevel"/>
    <w:tmpl w:val="A67A04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13C98"/>
    <w:multiLevelType w:val="hybridMultilevel"/>
    <w:tmpl w:val="831AF532"/>
    <w:lvl w:ilvl="0" w:tplc="36E6745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64010"/>
    <w:multiLevelType w:val="hybridMultilevel"/>
    <w:tmpl w:val="4A2CD9AE"/>
    <w:lvl w:ilvl="0" w:tplc="7DDE3B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D6B5C"/>
    <w:multiLevelType w:val="hybridMultilevel"/>
    <w:tmpl w:val="75DACC9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8604BC"/>
    <w:multiLevelType w:val="hybridMultilevel"/>
    <w:tmpl w:val="28CC99C8"/>
    <w:lvl w:ilvl="0" w:tplc="630064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96CCB"/>
    <w:multiLevelType w:val="hybridMultilevel"/>
    <w:tmpl w:val="088891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2425C"/>
    <w:multiLevelType w:val="hybridMultilevel"/>
    <w:tmpl w:val="CD166C88"/>
    <w:lvl w:ilvl="0" w:tplc="4FCA4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E5130"/>
    <w:multiLevelType w:val="hybridMultilevel"/>
    <w:tmpl w:val="F070986C"/>
    <w:lvl w:ilvl="0" w:tplc="B24209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5E64F0"/>
    <w:multiLevelType w:val="hybridMultilevel"/>
    <w:tmpl w:val="713EF024"/>
    <w:lvl w:ilvl="0" w:tplc="EE445A2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B2D4104"/>
    <w:multiLevelType w:val="hybridMultilevel"/>
    <w:tmpl w:val="2C9A91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446EC"/>
    <w:multiLevelType w:val="hybridMultilevel"/>
    <w:tmpl w:val="0054EEE6"/>
    <w:lvl w:ilvl="0" w:tplc="B0483F6C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88374164">
    <w:abstractNumId w:val="31"/>
  </w:num>
  <w:num w:numId="2" w16cid:durableId="1645309857">
    <w:abstractNumId w:val="1"/>
  </w:num>
  <w:num w:numId="3" w16cid:durableId="1286934296">
    <w:abstractNumId w:val="17"/>
  </w:num>
  <w:num w:numId="4" w16cid:durableId="804782742">
    <w:abstractNumId w:val="11"/>
  </w:num>
  <w:num w:numId="5" w16cid:durableId="1404907751">
    <w:abstractNumId w:val="30"/>
  </w:num>
  <w:num w:numId="6" w16cid:durableId="1009411419">
    <w:abstractNumId w:val="19"/>
  </w:num>
  <w:num w:numId="7" w16cid:durableId="376392491">
    <w:abstractNumId w:val="6"/>
  </w:num>
  <w:num w:numId="8" w16cid:durableId="2110855771">
    <w:abstractNumId w:val="23"/>
  </w:num>
  <w:num w:numId="9" w16cid:durableId="1247616285">
    <w:abstractNumId w:val="15"/>
  </w:num>
  <w:num w:numId="10" w16cid:durableId="1382745986">
    <w:abstractNumId w:val="26"/>
  </w:num>
  <w:num w:numId="11" w16cid:durableId="707755495">
    <w:abstractNumId w:val="27"/>
  </w:num>
  <w:num w:numId="12" w16cid:durableId="1286614941">
    <w:abstractNumId w:val="7"/>
  </w:num>
  <w:num w:numId="13" w16cid:durableId="1935701451">
    <w:abstractNumId w:val="29"/>
  </w:num>
  <w:num w:numId="14" w16cid:durableId="505218289">
    <w:abstractNumId w:val="22"/>
  </w:num>
  <w:num w:numId="15" w16cid:durableId="14796847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0044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0026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6764354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0183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2088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7970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2608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91631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90283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32663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7761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12267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33101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5271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9688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38060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60782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8130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90845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78234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28557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37464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22156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1056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18972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27148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196032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80129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73545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284003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76"/>
    <w:rsid w:val="0003721F"/>
    <w:rsid w:val="00041053"/>
    <w:rsid w:val="00046786"/>
    <w:rsid w:val="00076E59"/>
    <w:rsid w:val="000B13CB"/>
    <w:rsid w:val="000C3C78"/>
    <w:rsid w:val="000C6B7A"/>
    <w:rsid w:val="000D59B9"/>
    <w:rsid w:val="001248B7"/>
    <w:rsid w:val="001325DF"/>
    <w:rsid w:val="00136459"/>
    <w:rsid w:val="001B43A6"/>
    <w:rsid w:val="001C7F74"/>
    <w:rsid w:val="001D5D51"/>
    <w:rsid w:val="001E0EED"/>
    <w:rsid w:val="002021B5"/>
    <w:rsid w:val="002679FB"/>
    <w:rsid w:val="00284233"/>
    <w:rsid w:val="00287F12"/>
    <w:rsid w:val="002B12AC"/>
    <w:rsid w:val="002D1871"/>
    <w:rsid w:val="002D3A67"/>
    <w:rsid w:val="002E74B0"/>
    <w:rsid w:val="00350A27"/>
    <w:rsid w:val="0036303B"/>
    <w:rsid w:val="003B2F04"/>
    <w:rsid w:val="003F0EE9"/>
    <w:rsid w:val="003F75E2"/>
    <w:rsid w:val="00444155"/>
    <w:rsid w:val="0044683B"/>
    <w:rsid w:val="0045454B"/>
    <w:rsid w:val="0046047D"/>
    <w:rsid w:val="00464757"/>
    <w:rsid w:val="00475FBB"/>
    <w:rsid w:val="004962A6"/>
    <w:rsid w:val="004B5B4B"/>
    <w:rsid w:val="005278C8"/>
    <w:rsid w:val="005D4E46"/>
    <w:rsid w:val="005F3A60"/>
    <w:rsid w:val="006507A3"/>
    <w:rsid w:val="00666F6D"/>
    <w:rsid w:val="006A3048"/>
    <w:rsid w:val="006B53B9"/>
    <w:rsid w:val="006C6681"/>
    <w:rsid w:val="006F7C76"/>
    <w:rsid w:val="0075097E"/>
    <w:rsid w:val="00755061"/>
    <w:rsid w:val="00770F19"/>
    <w:rsid w:val="00777019"/>
    <w:rsid w:val="007829AD"/>
    <w:rsid w:val="007A0826"/>
    <w:rsid w:val="007D3596"/>
    <w:rsid w:val="007D375B"/>
    <w:rsid w:val="007E2CC9"/>
    <w:rsid w:val="00813C01"/>
    <w:rsid w:val="00827B3D"/>
    <w:rsid w:val="008622F1"/>
    <w:rsid w:val="00865C05"/>
    <w:rsid w:val="008A3E5D"/>
    <w:rsid w:val="008A65D7"/>
    <w:rsid w:val="008D3676"/>
    <w:rsid w:val="00916725"/>
    <w:rsid w:val="0094588B"/>
    <w:rsid w:val="009A14E3"/>
    <w:rsid w:val="009B4143"/>
    <w:rsid w:val="009E5A7B"/>
    <w:rsid w:val="009E6AAC"/>
    <w:rsid w:val="00A27FD9"/>
    <w:rsid w:val="00A777A5"/>
    <w:rsid w:val="00A94080"/>
    <w:rsid w:val="00AB764D"/>
    <w:rsid w:val="00B40563"/>
    <w:rsid w:val="00B76216"/>
    <w:rsid w:val="00BB54BD"/>
    <w:rsid w:val="00BC08F7"/>
    <w:rsid w:val="00C305F9"/>
    <w:rsid w:val="00C35037"/>
    <w:rsid w:val="00C7274F"/>
    <w:rsid w:val="00CA77C6"/>
    <w:rsid w:val="00CC079B"/>
    <w:rsid w:val="00D53348"/>
    <w:rsid w:val="00D66CA7"/>
    <w:rsid w:val="00DA3740"/>
    <w:rsid w:val="00DC6814"/>
    <w:rsid w:val="00DC6C39"/>
    <w:rsid w:val="00EC315B"/>
    <w:rsid w:val="00EF492F"/>
    <w:rsid w:val="00F12B10"/>
    <w:rsid w:val="00F30F56"/>
    <w:rsid w:val="00F43D91"/>
    <w:rsid w:val="00F46CF0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D77C5"/>
  <w15:chartTrackingRefBased/>
  <w15:docId w15:val="{436EC415-DB7D-4A85-AEE5-66B7D8F2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3676"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367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367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3676"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3676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D3676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8D367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8D367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D367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8D367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8D367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8D367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">
    <w:name w:val="xl32"/>
    <w:basedOn w:val="Normal"/>
    <w:uiPriority w:val="99"/>
    <w:rsid w:val="008D3676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3">
    <w:name w:val="xl33"/>
    <w:basedOn w:val="Normal"/>
    <w:uiPriority w:val="99"/>
    <w:rsid w:val="008D3676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5">
    <w:name w:val="xl35"/>
    <w:basedOn w:val="Normal"/>
    <w:uiPriority w:val="99"/>
    <w:rsid w:val="008D3676"/>
    <w:pPr>
      <w:spacing w:before="100" w:beforeAutospacing="1" w:after="100" w:afterAutospacing="1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uiPriority w:val="99"/>
    <w:rsid w:val="008D36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367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67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D3676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D36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D3676"/>
    <w:pPr>
      <w:ind w:right="792"/>
      <w:jc w:val="both"/>
    </w:pPr>
    <w:rPr>
      <w:noProof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8D3676"/>
    <w:rPr>
      <w:rFonts w:ascii="Times New Roman" w:eastAsia="Times New Roman" w:hAnsi="Times New Roman" w:cs="Times New Roman"/>
      <w:noProof/>
      <w:sz w:val="24"/>
      <w:szCs w:val="24"/>
      <w:u w:val="single"/>
    </w:rPr>
  </w:style>
  <w:style w:type="paragraph" w:styleId="BodyText3">
    <w:name w:val="Body Text 3"/>
    <w:basedOn w:val="Normal"/>
    <w:link w:val="BodyText3Char"/>
    <w:uiPriority w:val="99"/>
    <w:rsid w:val="008D3676"/>
    <w:pPr>
      <w:spacing w:before="120" w:after="120"/>
      <w:ind w:right="792"/>
      <w:jc w:val="both"/>
    </w:pPr>
    <w:rPr>
      <w:i/>
      <w:iCs/>
      <w:noProof/>
    </w:rPr>
  </w:style>
  <w:style w:type="character" w:customStyle="1" w:styleId="BodyText3Char">
    <w:name w:val="Body Text 3 Char"/>
    <w:basedOn w:val="DefaultParagraphFont"/>
    <w:link w:val="BodyText3"/>
    <w:uiPriority w:val="99"/>
    <w:rsid w:val="008D3676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rsid w:val="008D36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67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D3676"/>
    <w:pPr>
      <w:ind w:left="57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D36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D3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67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D36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36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36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D3676"/>
    <w:pPr>
      <w:ind w:left="720"/>
      <w:contextualSpacing/>
    </w:pPr>
    <w:rPr>
      <w:lang w:eastAsia="sk-SK"/>
    </w:rPr>
  </w:style>
  <w:style w:type="paragraph" w:styleId="NoSpacing">
    <w:name w:val="No Spacing"/>
    <w:uiPriority w:val="1"/>
    <w:qFormat/>
    <w:rsid w:val="008D3676"/>
    <w:pPr>
      <w:spacing w:before="120" w:after="12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D36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FootnoteText">
    <w:name w:val="footnote text"/>
    <w:basedOn w:val="Normal"/>
    <w:link w:val="FootnoteTextChar"/>
    <w:uiPriority w:val="99"/>
    <w:rsid w:val="008D367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36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8D367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US"/>
    </w:rPr>
  </w:style>
  <w:style w:type="table" w:customStyle="1" w:styleId="Mriekatabuky1">
    <w:name w:val="Mriežka tabuľky1"/>
    <w:basedOn w:val="TableNormal"/>
    <w:next w:val="TableGrid"/>
    <w:uiPriority w:val="59"/>
    <w:rsid w:val="008D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D3676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67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D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3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6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67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otnoteReference">
    <w:name w:val="footnote reference"/>
    <w:uiPriority w:val="99"/>
    <w:unhideWhenUsed/>
    <w:rsid w:val="008D3676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36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3676"/>
    <w:rPr>
      <w:rFonts w:ascii="Times New Roman" w:eastAsia="Times New Roman" w:hAnsi="Times New Roman" w:cs="Times New Roman"/>
      <w:sz w:val="16"/>
      <w:szCs w:val="16"/>
    </w:rPr>
  </w:style>
  <w:style w:type="character" w:customStyle="1" w:styleId="cf01">
    <w:name w:val="cf01"/>
    <w:basedOn w:val="DefaultParagraphFont"/>
    <w:rsid w:val="008D367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3676"/>
  </w:style>
  <w:style w:type="character" w:styleId="FollowedHyperlink">
    <w:name w:val="FollowedHyperlink"/>
    <w:basedOn w:val="DefaultParagraphFont"/>
    <w:uiPriority w:val="99"/>
    <w:semiHidden/>
    <w:unhideWhenUsed/>
    <w:rsid w:val="00287F12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87F12"/>
    <w:pPr>
      <w:spacing w:before="100" w:beforeAutospacing="1" w:after="100" w:afterAutospacing="1"/>
    </w:pPr>
    <w:rPr>
      <w:lang w:eastAsia="sk-SK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7F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7F12"/>
    <w:rPr>
      <w:rFonts w:ascii="Times New Roman" w:eastAsia="Times New Roman" w:hAnsi="Times New Roman" w:cs="Times New Roman"/>
      <w:sz w:val="20"/>
      <w:szCs w:val="20"/>
    </w:rPr>
  </w:style>
  <w:style w:type="paragraph" w:customStyle="1" w:styleId="pf0">
    <w:name w:val="pf0"/>
    <w:basedOn w:val="Normal"/>
    <w:rsid w:val="00287F12"/>
    <w:pPr>
      <w:spacing w:before="100" w:beforeAutospacing="1" w:after="100" w:afterAutospacing="1"/>
    </w:pPr>
    <w:rPr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287F12"/>
    <w:rPr>
      <w:vertAlign w:val="superscript"/>
    </w:rPr>
  </w:style>
  <w:style w:type="character" w:customStyle="1" w:styleId="cf11">
    <w:name w:val="cf11"/>
    <w:basedOn w:val="DefaultParagraphFont"/>
    <w:rsid w:val="00287F12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287F12"/>
    <w:rPr>
      <w:rFonts w:ascii="Segoe UI" w:hAnsi="Segoe UI" w:cs="Segoe UI" w:hint="default"/>
      <w:color w:val="2F2F2F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43267B74C4B4B96F0CBB3043B2351" ma:contentTypeVersion="3" ma:contentTypeDescription="Umožňuje vytvoriť nový dokument." ma:contentTypeScope="" ma:versionID="6c70c2f305802f6e59ffaacfd5070814">
  <xsd:schema xmlns:xsd="http://www.w3.org/2001/XMLSchema" xmlns:xs="http://www.w3.org/2001/XMLSchema" xmlns:p="http://schemas.microsoft.com/office/2006/metadata/properties" xmlns:ns2="b71713f1-365c-4d0b-a039-fcbc6d6fb164" targetNamespace="http://schemas.microsoft.com/office/2006/metadata/properties" ma:root="true" ma:fieldsID="ade500c8768d3cae0d8b67b1d35deb32" ns2:_="">
    <xsd:import namespace="b71713f1-365c-4d0b-a039-fcbc6d6fb1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713f1-365c-4d0b-a039-fcbc6d6fb1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F9BD7B-4AF7-47C0-917D-799368A0D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713f1-365c-4d0b-a039-fcbc6d6fb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CABBE-93B0-4AB8-A78F-C32BA1BC3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F645E-8257-4865-BD79-CB477695B9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4327</Words>
  <Characters>24665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Magdaléna</dc:creator>
  <cp:keywords/>
  <dc:description/>
  <cp:lastModifiedBy>Bystrianská Kristína</cp:lastModifiedBy>
  <cp:revision>3</cp:revision>
  <dcterms:created xsi:type="dcterms:W3CDTF">2025-03-24T14:20:00Z</dcterms:created>
  <dcterms:modified xsi:type="dcterms:W3CDTF">2025-03-24T14:23:00Z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0x010100DBC43267B74C4B4B96F0CBB3043B2351</vt:lpwstr>
  </property>
</Properties>
</file>