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FDC3" w14:textId="5728778E" w:rsidR="00631A2A" w:rsidRPr="00E5297F" w:rsidRDefault="00543E63" w:rsidP="007D1309">
      <w:pPr>
        <w:spacing w:after="302" w:line="259" w:lineRule="auto"/>
        <w:ind w:left="0" w:firstLine="0"/>
        <w:jc w:val="center"/>
        <w:rPr>
          <w:rFonts w:asciiTheme="minorHAnsi" w:hAnsiTheme="minorHAnsi" w:cstheme="minorHAnsi"/>
          <w:b/>
          <w:bCs/>
          <w:sz w:val="36"/>
          <w:szCs w:val="36"/>
          <w:lang w:val="en-US"/>
        </w:rPr>
      </w:pPr>
      <w:r w:rsidRPr="00E5297F">
        <w:rPr>
          <w:rFonts w:asciiTheme="minorHAnsi" w:hAnsiTheme="minorHAnsi" w:cstheme="minorHAnsi"/>
          <w:b/>
          <w:bCs/>
          <w:sz w:val="36"/>
          <w:szCs w:val="36"/>
          <w:lang w:val="en-US"/>
        </w:rPr>
        <w:t>F</w:t>
      </w:r>
      <w:r w:rsidR="007D1309" w:rsidRPr="00E5297F">
        <w:rPr>
          <w:rFonts w:asciiTheme="minorHAnsi" w:hAnsiTheme="minorHAnsi" w:cstheme="minorHAnsi"/>
          <w:b/>
          <w:bCs/>
          <w:sz w:val="36"/>
          <w:szCs w:val="36"/>
          <w:lang w:val="en-US"/>
        </w:rPr>
        <w:t xml:space="preserve">reedom of establishment (FoE) </w:t>
      </w:r>
    </w:p>
    <w:p w14:paraId="5FA8AB29" w14:textId="3FA2CD51" w:rsidR="00631A2A" w:rsidRPr="00E5297F" w:rsidRDefault="00E5297F" w:rsidP="00E5297F">
      <w:pPr>
        <w:autoSpaceDE w:val="0"/>
        <w:autoSpaceDN w:val="0"/>
        <w:adjustRightInd w:val="0"/>
        <w:spacing w:after="0" w:line="240" w:lineRule="auto"/>
        <w:ind w:left="0" w:firstLine="0"/>
        <w:jc w:val="center"/>
        <w:rPr>
          <w:rFonts w:asciiTheme="minorHAnsi" w:eastAsiaTheme="minorEastAsia" w:hAnsiTheme="minorHAnsi" w:cstheme="minorHAnsi"/>
          <w:color w:val="auto"/>
          <w:sz w:val="22"/>
          <w:lang w:val="en-US"/>
        </w:rPr>
      </w:pPr>
      <w:r w:rsidRPr="00E5297F">
        <w:rPr>
          <w:rFonts w:asciiTheme="minorHAnsi" w:eastAsiaTheme="minorEastAsia" w:hAnsiTheme="minorHAnsi" w:cstheme="minorHAnsi"/>
          <w:color w:val="auto"/>
          <w:sz w:val="22"/>
          <w:lang w:val="en-US"/>
        </w:rPr>
        <w:t>Decision of the Board of Supervisors on the collaboration of the insurance supervisory authorities of the</w:t>
      </w:r>
      <w:r w:rsidRPr="00E5297F">
        <w:rPr>
          <w:rFonts w:asciiTheme="minorHAnsi" w:eastAsiaTheme="minorEastAsia" w:hAnsiTheme="minorHAnsi" w:cstheme="minorHAnsi"/>
          <w:color w:val="auto"/>
          <w:sz w:val="22"/>
          <w:lang w:val="en-US"/>
        </w:rPr>
        <w:t xml:space="preserve"> </w:t>
      </w:r>
      <w:r w:rsidRPr="00E5297F">
        <w:rPr>
          <w:rFonts w:asciiTheme="minorHAnsi" w:eastAsiaTheme="minorEastAsia" w:hAnsiTheme="minorHAnsi" w:cstheme="minorHAnsi"/>
          <w:color w:val="auto"/>
          <w:sz w:val="22"/>
          <w:lang w:val="en-US"/>
        </w:rPr>
        <w:t>Member States of the European Economic Area (EIOPA-BoS-21/234 and Annex EIOPA-BoS</w:t>
      </w:r>
      <w:r w:rsidRPr="00E5297F">
        <w:rPr>
          <w:rFonts w:asciiTheme="minorHAnsi" w:eastAsiaTheme="minorEastAsia" w:hAnsiTheme="minorHAnsi" w:cstheme="minorHAnsi"/>
          <w:color w:val="auto"/>
          <w:sz w:val="22"/>
          <w:lang w:val="en-US"/>
        </w:rPr>
        <w:t xml:space="preserve"> </w:t>
      </w:r>
      <w:r w:rsidRPr="00E5297F">
        <w:rPr>
          <w:rFonts w:asciiTheme="minorHAnsi" w:eastAsiaTheme="minorEastAsia" w:hAnsiTheme="minorHAnsi" w:cstheme="minorHAnsi"/>
          <w:color w:val="auto"/>
          <w:sz w:val="22"/>
          <w:lang w:val="en-US"/>
        </w:rPr>
        <w:t>21/235)</w:t>
      </w:r>
      <w:r w:rsidRPr="00E5297F">
        <w:rPr>
          <w:rFonts w:asciiTheme="minorHAnsi" w:eastAsiaTheme="minorEastAsia" w:hAnsiTheme="minorHAnsi" w:cstheme="minorHAnsi"/>
          <w:color w:val="auto"/>
          <w:sz w:val="22"/>
          <w:lang w:val="en-US"/>
        </w:rPr>
        <w:t xml:space="preserve"> (</w:t>
      </w:r>
      <w:r w:rsidRPr="00E5297F">
        <w:rPr>
          <w:rFonts w:asciiTheme="minorHAnsi" w:eastAsiaTheme="minorEastAsia" w:hAnsiTheme="minorHAnsi" w:cstheme="minorHAnsi"/>
          <w:color w:val="auto"/>
          <w:sz w:val="22"/>
          <w:lang w:val="en-US"/>
        </w:rPr>
        <w:t>see references in brackets</w:t>
      </w:r>
      <w:r w:rsidRPr="00E5297F">
        <w:rPr>
          <w:rFonts w:asciiTheme="minorHAnsi" w:eastAsiaTheme="minorEastAsia" w:hAnsiTheme="minorHAnsi" w:cstheme="minorHAnsi"/>
          <w:color w:val="auto"/>
          <w:sz w:val="22"/>
          <w:lang w:val="en-US"/>
        </w:rPr>
        <w:t>)</w:t>
      </w:r>
    </w:p>
    <w:tbl>
      <w:tblPr>
        <w:tblStyle w:val="TableGrid"/>
        <w:tblW w:w="9470" w:type="dxa"/>
        <w:tblInd w:w="5" w:type="dxa"/>
        <w:tblCellMar>
          <w:top w:w="53" w:type="dxa"/>
          <w:left w:w="108" w:type="dxa"/>
          <w:bottom w:w="5" w:type="dxa"/>
          <w:right w:w="89" w:type="dxa"/>
        </w:tblCellMar>
        <w:tblLook w:val="04A0" w:firstRow="1" w:lastRow="0" w:firstColumn="1" w:lastColumn="0" w:noHBand="0" w:noVBand="1"/>
      </w:tblPr>
      <w:tblGrid>
        <w:gridCol w:w="494"/>
        <w:gridCol w:w="8976"/>
      </w:tblGrid>
      <w:tr w:rsidR="00631A2A" w:rsidRPr="00E5297F" w14:paraId="7211D3A1" w14:textId="77777777" w:rsidTr="00180A0B">
        <w:trPr>
          <w:trHeight w:val="567"/>
        </w:trPr>
        <w:tc>
          <w:tcPr>
            <w:tcW w:w="494" w:type="dxa"/>
            <w:tcBorders>
              <w:top w:val="single" w:sz="4" w:space="0" w:color="000000"/>
              <w:left w:val="single" w:sz="4" w:space="0" w:color="000000"/>
              <w:bottom w:val="single" w:sz="4" w:space="0" w:color="000000"/>
              <w:right w:val="single" w:sz="4" w:space="0" w:color="000000"/>
            </w:tcBorders>
          </w:tcPr>
          <w:p w14:paraId="64BB2A2C" w14:textId="77777777" w:rsidR="00631A2A" w:rsidRPr="00E5297F" w:rsidRDefault="00955A93">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1. </w:t>
            </w:r>
          </w:p>
        </w:tc>
        <w:tc>
          <w:tcPr>
            <w:tcW w:w="8976" w:type="dxa"/>
            <w:tcBorders>
              <w:top w:val="single" w:sz="4" w:space="0" w:color="000000"/>
              <w:left w:val="single" w:sz="4" w:space="0" w:color="000000"/>
              <w:bottom w:val="single" w:sz="4" w:space="0" w:color="000000"/>
              <w:right w:val="single" w:sz="4" w:space="0" w:color="000000"/>
            </w:tcBorders>
            <w:vAlign w:val="bottom"/>
          </w:tcPr>
          <w:p w14:paraId="7B4DC880" w14:textId="5A47BE52" w:rsidR="00631A2A" w:rsidRPr="00E5297F" w:rsidRDefault="00442DA5">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T</w:t>
            </w:r>
            <w:r w:rsidR="00955A93" w:rsidRPr="00E5297F">
              <w:rPr>
                <w:rFonts w:asciiTheme="minorHAnsi" w:hAnsiTheme="minorHAnsi" w:cstheme="minorHAnsi"/>
                <w:b/>
                <w:bCs/>
                <w:sz w:val="22"/>
                <w:lang w:val="en-US"/>
              </w:rPr>
              <w:t xml:space="preserve">he name and address of the head office of the insurance undertaking and an email address to communicate the information received from the Host NSA to the insurance undertaking </w:t>
            </w:r>
            <w:r w:rsidR="00E5297F" w:rsidRPr="004B5EB0">
              <w:rPr>
                <w:rFonts w:asciiTheme="minorHAnsi" w:eastAsia="Verdana" w:hAnsiTheme="minorHAnsi" w:cstheme="minorHAnsi"/>
                <w:b/>
                <w:bCs/>
                <w:sz w:val="22"/>
              </w:rPr>
              <w:t>(</w:t>
            </w:r>
            <w:r w:rsidR="00E5297F" w:rsidRPr="004B5EB0">
              <w:rPr>
                <w:rFonts w:asciiTheme="minorHAnsi" w:hAnsiTheme="minorHAnsi" w:cstheme="minorHAnsi"/>
                <w:b/>
                <w:bCs/>
                <w:color w:val="000000" w:themeColor="text1"/>
                <w:sz w:val="22"/>
              </w:rPr>
              <w:t>3.1.1.1.a)</w:t>
            </w:r>
          </w:p>
        </w:tc>
      </w:tr>
      <w:tr w:rsidR="00631A2A" w:rsidRPr="00E5297F" w14:paraId="1DB5678B" w14:textId="77777777">
        <w:trPr>
          <w:trHeight w:val="1769"/>
        </w:trPr>
        <w:tc>
          <w:tcPr>
            <w:tcW w:w="494" w:type="dxa"/>
            <w:tcBorders>
              <w:top w:val="single" w:sz="4" w:space="0" w:color="000000"/>
              <w:left w:val="single" w:sz="4" w:space="0" w:color="000000"/>
              <w:bottom w:val="single" w:sz="4" w:space="0" w:color="000000"/>
              <w:right w:val="single" w:sz="4" w:space="0" w:color="000000"/>
            </w:tcBorders>
          </w:tcPr>
          <w:p w14:paraId="30F0AE84" w14:textId="77777777"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2AA1D6AD" w14:textId="3549EA02" w:rsidR="00631A2A" w:rsidRPr="00E5297F" w:rsidRDefault="00631A2A">
            <w:pPr>
              <w:spacing w:after="0" w:line="259" w:lineRule="auto"/>
              <w:ind w:left="0" w:firstLine="0"/>
              <w:rPr>
                <w:rFonts w:asciiTheme="minorHAnsi" w:hAnsiTheme="minorHAnsi" w:cstheme="minorHAnsi"/>
                <w:sz w:val="22"/>
                <w:lang w:val="en-US"/>
              </w:rPr>
            </w:pPr>
          </w:p>
        </w:tc>
      </w:tr>
      <w:tr w:rsidR="00631A2A" w:rsidRPr="00E5297F" w14:paraId="547C7429" w14:textId="77777777" w:rsidTr="00180A0B">
        <w:trPr>
          <w:trHeight w:val="502"/>
        </w:trPr>
        <w:tc>
          <w:tcPr>
            <w:tcW w:w="494" w:type="dxa"/>
            <w:tcBorders>
              <w:top w:val="single" w:sz="4" w:space="0" w:color="000000"/>
              <w:left w:val="single" w:sz="4" w:space="0" w:color="000000"/>
              <w:bottom w:val="single" w:sz="4" w:space="0" w:color="000000"/>
              <w:right w:val="single" w:sz="4" w:space="0" w:color="000000"/>
            </w:tcBorders>
            <w:vAlign w:val="center"/>
          </w:tcPr>
          <w:p w14:paraId="5351F7EB" w14:textId="77777777" w:rsidR="00631A2A" w:rsidRPr="00E5297F" w:rsidRDefault="00955A93">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2. </w:t>
            </w:r>
          </w:p>
        </w:tc>
        <w:tc>
          <w:tcPr>
            <w:tcW w:w="8976" w:type="dxa"/>
            <w:tcBorders>
              <w:top w:val="single" w:sz="4" w:space="0" w:color="000000"/>
              <w:left w:val="single" w:sz="4" w:space="0" w:color="000000"/>
              <w:bottom w:val="single" w:sz="4" w:space="0" w:color="000000"/>
              <w:right w:val="single" w:sz="4" w:space="0" w:color="000000"/>
            </w:tcBorders>
            <w:vAlign w:val="bottom"/>
          </w:tcPr>
          <w:p w14:paraId="0AA0C399" w14:textId="509103F3" w:rsidR="00631A2A" w:rsidRPr="00E5297F" w:rsidRDefault="00442DA5">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T</w:t>
            </w:r>
            <w:r w:rsidR="00955A93" w:rsidRPr="00E5297F">
              <w:rPr>
                <w:rFonts w:asciiTheme="minorHAnsi" w:hAnsiTheme="minorHAnsi" w:cstheme="minorHAnsi"/>
                <w:b/>
                <w:bCs/>
                <w:sz w:val="22"/>
                <w:lang w:val="en-US"/>
              </w:rPr>
              <w:t xml:space="preserve">he address of the branch in the Host Member State, from which documents, including all communications to the authorised agent, may be obtained or delivered to </w:t>
            </w:r>
            <w:r w:rsidR="00E5297F" w:rsidRPr="004B5EB0">
              <w:rPr>
                <w:rFonts w:asciiTheme="minorHAnsi" w:eastAsia="Verdana" w:hAnsiTheme="minorHAnsi" w:cstheme="minorHAnsi"/>
                <w:b/>
                <w:sz w:val="22"/>
              </w:rPr>
              <w:t>(</w:t>
            </w:r>
            <w:r w:rsidR="00E5297F" w:rsidRPr="004B5EB0">
              <w:rPr>
                <w:rFonts w:asciiTheme="minorHAnsi" w:hAnsiTheme="minorHAnsi" w:cstheme="minorHAnsi"/>
                <w:b/>
                <w:color w:val="000000" w:themeColor="text1"/>
                <w:sz w:val="22"/>
              </w:rPr>
              <w:t>3.1.1.1.b)</w:t>
            </w:r>
          </w:p>
        </w:tc>
      </w:tr>
      <w:tr w:rsidR="00631A2A" w:rsidRPr="00E5297F" w14:paraId="46F49CC2" w14:textId="77777777" w:rsidTr="00543E63">
        <w:trPr>
          <w:trHeight w:val="1646"/>
        </w:trPr>
        <w:tc>
          <w:tcPr>
            <w:tcW w:w="494" w:type="dxa"/>
            <w:tcBorders>
              <w:top w:val="single" w:sz="4" w:space="0" w:color="000000"/>
              <w:left w:val="single" w:sz="4" w:space="0" w:color="000000"/>
              <w:bottom w:val="single" w:sz="4" w:space="0" w:color="000000"/>
              <w:right w:val="single" w:sz="4" w:space="0" w:color="000000"/>
            </w:tcBorders>
          </w:tcPr>
          <w:p w14:paraId="45812FD9" w14:textId="77777777"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3744015A" w14:textId="4F53415E" w:rsidR="00631A2A" w:rsidRPr="00E5297F" w:rsidRDefault="00631A2A">
            <w:pPr>
              <w:spacing w:after="0" w:line="259" w:lineRule="auto"/>
              <w:ind w:left="0" w:firstLine="0"/>
              <w:rPr>
                <w:rFonts w:asciiTheme="minorHAnsi" w:hAnsiTheme="minorHAnsi" w:cstheme="minorHAnsi"/>
                <w:sz w:val="22"/>
                <w:lang w:val="en-US"/>
              </w:rPr>
            </w:pPr>
          </w:p>
        </w:tc>
      </w:tr>
      <w:tr w:rsidR="00631A2A" w:rsidRPr="00E5297F" w14:paraId="608387A2" w14:textId="77777777" w:rsidTr="00180A0B">
        <w:trPr>
          <w:trHeight w:val="428"/>
        </w:trPr>
        <w:tc>
          <w:tcPr>
            <w:tcW w:w="494" w:type="dxa"/>
            <w:tcBorders>
              <w:top w:val="single" w:sz="4" w:space="0" w:color="000000"/>
              <w:left w:val="single" w:sz="4" w:space="0" w:color="000000"/>
              <w:bottom w:val="single" w:sz="4" w:space="0" w:color="000000"/>
              <w:right w:val="single" w:sz="4" w:space="0" w:color="000000"/>
            </w:tcBorders>
            <w:vAlign w:val="center"/>
          </w:tcPr>
          <w:p w14:paraId="312E87C2" w14:textId="77777777" w:rsidR="00631A2A" w:rsidRPr="00E5297F" w:rsidRDefault="00955A93">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3. </w:t>
            </w:r>
          </w:p>
        </w:tc>
        <w:tc>
          <w:tcPr>
            <w:tcW w:w="8976" w:type="dxa"/>
            <w:tcBorders>
              <w:top w:val="single" w:sz="4" w:space="0" w:color="000000"/>
              <w:left w:val="single" w:sz="4" w:space="0" w:color="000000"/>
              <w:bottom w:val="single" w:sz="4" w:space="0" w:color="000000"/>
              <w:right w:val="single" w:sz="4" w:space="0" w:color="000000"/>
            </w:tcBorders>
            <w:vAlign w:val="bottom"/>
          </w:tcPr>
          <w:p w14:paraId="611AE9AD" w14:textId="464446B8" w:rsidR="00631A2A" w:rsidRPr="00E5297F" w:rsidRDefault="00442DA5">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T</w:t>
            </w:r>
            <w:r w:rsidR="00955A93" w:rsidRPr="00E5297F">
              <w:rPr>
                <w:rFonts w:asciiTheme="minorHAnsi" w:hAnsiTheme="minorHAnsi" w:cstheme="minorHAnsi"/>
                <w:b/>
                <w:bCs/>
                <w:sz w:val="22"/>
                <w:lang w:val="en-US"/>
              </w:rPr>
              <w:t xml:space="preserve">he classes of insurance according to the Annexes I and II to the Solvency II Directive, into which the planned business falls </w:t>
            </w:r>
            <w:r w:rsidR="00E5297F" w:rsidRPr="004B5EB0">
              <w:rPr>
                <w:rFonts w:asciiTheme="minorHAnsi" w:eastAsia="Verdana" w:hAnsiTheme="minorHAnsi" w:cstheme="minorHAnsi"/>
                <w:b/>
                <w:sz w:val="22"/>
              </w:rPr>
              <w:t>(</w:t>
            </w:r>
            <w:r w:rsidR="00E5297F" w:rsidRPr="004B5EB0">
              <w:rPr>
                <w:rFonts w:asciiTheme="minorHAnsi" w:hAnsiTheme="minorHAnsi" w:cstheme="minorHAnsi"/>
                <w:b/>
                <w:color w:val="000000" w:themeColor="text1"/>
                <w:sz w:val="22"/>
              </w:rPr>
              <w:t>3.1.1.1.c)</w:t>
            </w:r>
          </w:p>
        </w:tc>
      </w:tr>
      <w:tr w:rsidR="00631A2A" w:rsidRPr="00E5297F" w14:paraId="424CD605" w14:textId="77777777" w:rsidTr="00543E63">
        <w:trPr>
          <w:trHeight w:val="1920"/>
        </w:trPr>
        <w:tc>
          <w:tcPr>
            <w:tcW w:w="494" w:type="dxa"/>
            <w:tcBorders>
              <w:top w:val="single" w:sz="4" w:space="0" w:color="000000"/>
              <w:left w:val="single" w:sz="4" w:space="0" w:color="000000"/>
              <w:bottom w:val="single" w:sz="4" w:space="0" w:color="000000"/>
              <w:right w:val="single" w:sz="4" w:space="0" w:color="000000"/>
            </w:tcBorders>
          </w:tcPr>
          <w:p w14:paraId="30F7405F" w14:textId="77777777"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3520B1AC" w14:textId="491CCC1D"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r>
      <w:tr w:rsidR="00631A2A" w:rsidRPr="00E5297F" w14:paraId="38CA4729" w14:textId="77777777" w:rsidTr="00180A0B">
        <w:trPr>
          <w:trHeight w:val="341"/>
        </w:trPr>
        <w:tc>
          <w:tcPr>
            <w:tcW w:w="494" w:type="dxa"/>
            <w:tcBorders>
              <w:top w:val="single" w:sz="4" w:space="0" w:color="000000"/>
              <w:left w:val="single" w:sz="4" w:space="0" w:color="000000"/>
              <w:bottom w:val="single" w:sz="4" w:space="0" w:color="000000"/>
              <w:right w:val="single" w:sz="4" w:space="0" w:color="000000"/>
            </w:tcBorders>
            <w:vAlign w:val="bottom"/>
          </w:tcPr>
          <w:p w14:paraId="18BB630C" w14:textId="77777777" w:rsidR="00631A2A" w:rsidRPr="00E5297F" w:rsidRDefault="00955A93">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4. </w:t>
            </w:r>
          </w:p>
        </w:tc>
        <w:tc>
          <w:tcPr>
            <w:tcW w:w="8976" w:type="dxa"/>
            <w:tcBorders>
              <w:top w:val="single" w:sz="4" w:space="0" w:color="000000"/>
              <w:left w:val="single" w:sz="4" w:space="0" w:color="000000"/>
              <w:bottom w:val="single" w:sz="4" w:space="0" w:color="000000"/>
              <w:right w:val="single" w:sz="4" w:space="0" w:color="000000"/>
            </w:tcBorders>
            <w:vAlign w:val="bottom"/>
          </w:tcPr>
          <w:p w14:paraId="67D3860B" w14:textId="79CFE960" w:rsidR="00631A2A" w:rsidRPr="00E5297F" w:rsidRDefault="00442DA5">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T</w:t>
            </w:r>
            <w:r w:rsidR="00955A93" w:rsidRPr="00E5297F">
              <w:rPr>
                <w:rFonts w:asciiTheme="minorHAnsi" w:hAnsiTheme="minorHAnsi" w:cstheme="minorHAnsi"/>
                <w:b/>
                <w:bCs/>
                <w:sz w:val="22"/>
                <w:lang w:val="en-US"/>
              </w:rPr>
              <w:t>he scheme of operations setting out, at least, the following</w:t>
            </w:r>
            <w:r w:rsidR="00E5297F">
              <w:rPr>
                <w:rFonts w:asciiTheme="minorHAnsi" w:hAnsiTheme="minorHAnsi" w:cstheme="minorHAnsi"/>
                <w:b/>
                <w:bCs/>
                <w:sz w:val="22"/>
                <w:lang w:val="en-US"/>
              </w:rPr>
              <w:t xml:space="preserve"> </w:t>
            </w:r>
            <w:r w:rsidR="00E5297F" w:rsidRPr="004B5EB0">
              <w:rPr>
                <w:rFonts w:asciiTheme="minorHAnsi" w:eastAsia="Verdana" w:hAnsiTheme="minorHAnsi" w:cstheme="minorHAnsi"/>
                <w:b/>
                <w:bCs/>
                <w:sz w:val="22"/>
              </w:rPr>
              <w:t>(</w:t>
            </w:r>
            <w:r w:rsidR="00E5297F" w:rsidRPr="004B5EB0">
              <w:rPr>
                <w:rFonts w:asciiTheme="minorHAnsi" w:hAnsiTheme="minorHAnsi" w:cstheme="minorHAnsi"/>
                <w:b/>
                <w:bCs/>
                <w:color w:val="000000" w:themeColor="text1"/>
                <w:sz w:val="22"/>
              </w:rPr>
              <w:t>3.1.1.1.d)</w:t>
            </w:r>
            <w:r w:rsidR="00E5297F" w:rsidRPr="004B5EB0">
              <w:rPr>
                <w:rFonts w:asciiTheme="minorHAnsi" w:hAnsiTheme="minorHAnsi" w:cstheme="minorHAnsi"/>
                <w:b/>
                <w:bCs/>
                <w:sz w:val="22"/>
              </w:rPr>
              <w:t>:</w:t>
            </w:r>
          </w:p>
        </w:tc>
      </w:tr>
      <w:tr w:rsidR="00631A2A" w:rsidRPr="00E5297F" w14:paraId="10133551" w14:textId="77777777" w:rsidTr="00180A0B">
        <w:trPr>
          <w:trHeight w:val="346"/>
        </w:trPr>
        <w:tc>
          <w:tcPr>
            <w:tcW w:w="494" w:type="dxa"/>
            <w:tcBorders>
              <w:top w:val="single" w:sz="4" w:space="0" w:color="000000"/>
              <w:left w:val="single" w:sz="4" w:space="0" w:color="000000"/>
              <w:bottom w:val="single" w:sz="4" w:space="0" w:color="000000"/>
              <w:right w:val="single" w:sz="4" w:space="0" w:color="000000"/>
            </w:tcBorders>
            <w:vAlign w:val="center"/>
          </w:tcPr>
          <w:p w14:paraId="4318D0B4" w14:textId="77777777"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vAlign w:val="bottom"/>
          </w:tcPr>
          <w:p w14:paraId="2A0B56F1" w14:textId="176DF2BB" w:rsidR="00631A2A" w:rsidRPr="00E5297F" w:rsidRDefault="00955A93" w:rsidP="004D0690">
            <w:pPr>
              <w:spacing w:after="0" w:line="259" w:lineRule="auto"/>
              <w:rPr>
                <w:rFonts w:asciiTheme="minorHAnsi" w:hAnsiTheme="minorHAnsi" w:cstheme="minorHAnsi"/>
                <w:b/>
                <w:bCs/>
                <w:sz w:val="22"/>
                <w:lang w:val="en-US"/>
              </w:rPr>
            </w:pPr>
            <w:r w:rsidRPr="00E5297F">
              <w:rPr>
                <w:rFonts w:asciiTheme="minorHAnsi" w:hAnsiTheme="minorHAnsi" w:cstheme="minorHAnsi"/>
                <w:b/>
                <w:bCs/>
                <w:sz w:val="22"/>
                <w:lang w:val="en-US"/>
              </w:rPr>
              <w:t xml:space="preserve">a. </w:t>
            </w:r>
            <w:r w:rsidR="00442DA5" w:rsidRPr="00E5297F">
              <w:rPr>
                <w:rFonts w:asciiTheme="minorHAnsi" w:hAnsiTheme="minorHAnsi" w:cstheme="minorHAnsi"/>
                <w:b/>
                <w:bCs/>
                <w:sz w:val="22"/>
                <w:lang w:val="en-US"/>
              </w:rPr>
              <w:t>T</w:t>
            </w:r>
            <w:r w:rsidRPr="00E5297F">
              <w:rPr>
                <w:rFonts w:asciiTheme="minorHAnsi" w:hAnsiTheme="minorHAnsi" w:cstheme="minorHAnsi"/>
                <w:b/>
                <w:bCs/>
                <w:sz w:val="22"/>
                <w:lang w:val="en-US"/>
              </w:rPr>
              <w:t xml:space="preserve">he nature of risks or commitments which the undertaking is proposing to cover through the branch </w:t>
            </w:r>
          </w:p>
        </w:tc>
      </w:tr>
      <w:tr w:rsidR="00631A2A" w:rsidRPr="00E5297F" w14:paraId="56631659" w14:textId="77777777">
        <w:trPr>
          <w:trHeight w:val="1714"/>
        </w:trPr>
        <w:tc>
          <w:tcPr>
            <w:tcW w:w="494" w:type="dxa"/>
            <w:tcBorders>
              <w:top w:val="single" w:sz="4" w:space="0" w:color="000000"/>
              <w:left w:val="single" w:sz="4" w:space="0" w:color="000000"/>
              <w:bottom w:val="single" w:sz="4" w:space="0" w:color="000000"/>
              <w:right w:val="single" w:sz="4" w:space="0" w:color="000000"/>
            </w:tcBorders>
          </w:tcPr>
          <w:p w14:paraId="4BF12F21" w14:textId="77777777"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vAlign w:val="bottom"/>
          </w:tcPr>
          <w:p w14:paraId="7EA9E27F" w14:textId="6C2E49C8" w:rsidR="00631A2A" w:rsidRPr="00E5297F" w:rsidRDefault="00631A2A">
            <w:pPr>
              <w:spacing w:after="0" w:line="259" w:lineRule="auto"/>
              <w:ind w:left="0" w:firstLine="0"/>
              <w:rPr>
                <w:rFonts w:asciiTheme="minorHAnsi" w:hAnsiTheme="minorHAnsi" w:cstheme="minorHAnsi"/>
                <w:sz w:val="22"/>
                <w:lang w:val="en-US"/>
              </w:rPr>
            </w:pPr>
          </w:p>
        </w:tc>
      </w:tr>
      <w:tr w:rsidR="00180A0B" w:rsidRPr="00E5297F" w14:paraId="240202DB" w14:textId="77777777" w:rsidTr="004D0690">
        <w:trPr>
          <w:trHeight w:val="562"/>
        </w:trPr>
        <w:tc>
          <w:tcPr>
            <w:tcW w:w="494" w:type="dxa"/>
            <w:tcBorders>
              <w:top w:val="single" w:sz="4" w:space="0" w:color="000000"/>
              <w:left w:val="single" w:sz="4" w:space="0" w:color="000000"/>
              <w:bottom w:val="single" w:sz="4" w:space="0" w:color="000000"/>
              <w:right w:val="single" w:sz="4" w:space="0" w:color="000000"/>
            </w:tcBorders>
          </w:tcPr>
          <w:p w14:paraId="3CBE9521"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vAlign w:val="bottom"/>
          </w:tcPr>
          <w:p w14:paraId="766BE375" w14:textId="2451F9B2" w:rsidR="00180A0B" w:rsidRPr="00E5297F" w:rsidRDefault="00180A0B" w:rsidP="00180A0B">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b. </w:t>
            </w:r>
            <w:r w:rsidR="00442DA5" w:rsidRPr="00E5297F">
              <w:rPr>
                <w:rFonts w:asciiTheme="minorHAnsi" w:hAnsiTheme="minorHAnsi" w:cstheme="minorHAnsi"/>
                <w:b/>
                <w:bCs/>
                <w:sz w:val="22"/>
                <w:lang w:val="en-US"/>
              </w:rPr>
              <w:t>I</w:t>
            </w:r>
            <w:r w:rsidRPr="00E5297F">
              <w:rPr>
                <w:rFonts w:asciiTheme="minorHAnsi" w:hAnsiTheme="minorHAnsi" w:cstheme="minorHAnsi"/>
                <w:b/>
                <w:bCs/>
                <w:sz w:val="22"/>
                <w:lang w:val="en-US"/>
              </w:rPr>
              <w:t xml:space="preserve">f available, the guiding principles as to reinsurance and to retrocession with respect to the branch operations </w:t>
            </w:r>
          </w:p>
        </w:tc>
      </w:tr>
      <w:tr w:rsidR="00180A0B" w:rsidRPr="00E5297F" w14:paraId="4B0321F6" w14:textId="77777777" w:rsidTr="00543E63">
        <w:trPr>
          <w:trHeight w:val="2081"/>
        </w:trPr>
        <w:tc>
          <w:tcPr>
            <w:tcW w:w="494" w:type="dxa"/>
            <w:tcBorders>
              <w:top w:val="single" w:sz="4" w:space="0" w:color="000000"/>
              <w:left w:val="single" w:sz="4" w:space="0" w:color="000000"/>
              <w:bottom w:val="single" w:sz="4" w:space="0" w:color="000000"/>
              <w:right w:val="single" w:sz="4" w:space="0" w:color="000000"/>
            </w:tcBorders>
          </w:tcPr>
          <w:p w14:paraId="64E8850E"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tcPr>
          <w:p w14:paraId="47455CBA" w14:textId="77777777" w:rsidR="00180A0B" w:rsidRPr="00E5297F" w:rsidRDefault="00180A0B" w:rsidP="00180A0B">
            <w:pPr>
              <w:spacing w:after="0" w:line="259" w:lineRule="auto"/>
              <w:ind w:left="0" w:firstLine="0"/>
              <w:rPr>
                <w:rFonts w:asciiTheme="minorHAnsi" w:hAnsiTheme="minorHAnsi" w:cstheme="minorHAnsi"/>
                <w:sz w:val="22"/>
                <w:lang w:val="en-US"/>
              </w:rPr>
            </w:pPr>
          </w:p>
        </w:tc>
      </w:tr>
      <w:tr w:rsidR="00180A0B" w:rsidRPr="00E5297F" w14:paraId="32BCAD97" w14:textId="77777777" w:rsidTr="004D0690">
        <w:trPr>
          <w:trHeight w:val="924"/>
        </w:trPr>
        <w:tc>
          <w:tcPr>
            <w:tcW w:w="494" w:type="dxa"/>
            <w:tcBorders>
              <w:top w:val="single" w:sz="4" w:space="0" w:color="000000"/>
              <w:left w:val="single" w:sz="4" w:space="0" w:color="000000"/>
              <w:bottom w:val="single" w:sz="4" w:space="0" w:color="000000"/>
              <w:right w:val="single" w:sz="4" w:space="0" w:color="000000"/>
            </w:tcBorders>
          </w:tcPr>
          <w:p w14:paraId="6C4B9552"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vAlign w:val="bottom"/>
          </w:tcPr>
          <w:p w14:paraId="2AAC6573" w14:textId="25216617" w:rsidR="00180A0B" w:rsidRPr="00E5297F" w:rsidRDefault="00180A0B" w:rsidP="00180A0B">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c. </w:t>
            </w:r>
            <w:r w:rsidR="00442DA5" w:rsidRPr="00E5297F">
              <w:rPr>
                <w:rFonts w:asciiTheme="minorHAnsi" w:hAnsiTheme="minorHAnsi" w:cstheme="minorHAnsi"/>
                <w:b/>
                <w:bCs/>
                <w:sz w:val="22"/>
                <w:lang w:val="en-US"/>
              </w:rPr>
              <w:t>I</w:t>
            </w:r>
            <w:r w:rsidRPr="00E5297F">
              <w:rPr>
                <w:rFonts w:asciiTheme="minorHAnsi" w:hAnsiTheme="minorHAnsi" w:cstheme="minorHAnsi"/>
                <w:b/>
                <w:bCs/>
                <w:sz w:val="22"/>
                <w:lang w:val="en-US"/>
              </w:rPr>
              <w:t xml:space="preserve">f available, cost estimates for setting up the administrative services and organisation for securing business of the branch; the financial resources set aside for this purpose and, if the risks to be covered fall within class 18 in Part A of Annex I to the Solvency II Directive, the company taking over assistance services of the resources available to the insurance undertaking to provide the promised assistance </w:t>
            </w:r>
          </w:p>
        </w:tc>
      </w:tr>
      <w:tr w:rsidR="00180A0B" w:rsidRPr="00E5297F" w14:paraId="6132EDDE" w14:textId="77777777" w:rsidTr="00F636A7">
        <w:trPr>
          <w:trHeight w:val="1714"/>
        </w:trPr>
        <w:tc>
          <w:tcPr>
            <w:tcW w:w="494" w:type="dxa"/>
            <w:tcBorders>
              <w:top w:val="single" w:sz="4" w:space="0" w:color="000000"/>
              <w:left w:val="single" w:sz="4" w:space="0" w:color="000000"/>
              <w:bottom w:val="single" w:sz="4" w:space="0" w:color="000000"/>
              <w:right w:val="single" w:sz="4" w:space="0" w:color="000000"/>
            </w:tcBorders>
          </w:tcPr>
          <w:p w14:paraId="4D430A98"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tcPr>
          <w:p w14:paraId="1FFA5245" w14:textId="77777777" w:rsidR="00180A0B" w:rsidRPr="00E5297F" w:rsidRDefault="00180A0B" w:rsidP="00180A0B">
            <w:pPr>
              <w:spacing w:after="0" w:line="259" w:lineRule="auto"/>
              <w:ind w:left="0" w:firstLine="0"/>
              <w:rPr>
                <w:rFonts w:asciiTheme="minorHAnsi" w:hAnsiTheme="minorHAnsi" w:cstheme="minorHAnsi"/>
                <w:sz w:val="22"/>
                <w:lang w:val="en-US"/>
              </w:rPr>
            </w:pPr>
          </w:p>
        </w:tc>
      </w:tr>
      <w:tr w:rsidR="00180A0B" w:rsidRPr="00E5297F" w14:paraId="74458E1A" w14:textId="77777777" w:rsidTr="004D0690">
        <w:trPr>
          <w:trHeight w:val="424"/>
        </w:trPr>
        <w:tc>
          <w:tcPr>
            <w:tcW w:w="494" w:type="dxa"/>
            <w:tcBorders>
              <w:top w:val="single" w:sz="4" w:space="0" w:color="000000"/>
              <w:left w:val="single" w:sz="4" w:space="0" w:color="000000"/>
              <w:bottom w:val="single" w:sz="4" w:space="0" w:color="000000"/>
              <w:right w:val="single" w:sz="4" w:space="0" w:color="000000"/>
            </w:tcBorders>
          </w:tcPr>
          <w:p w14:paraId="7F8ADEEC"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vAlign w:val="bottom"/>
          </w:tcPr>
          <w:p w14:paraId="0D96FBC6" w14:textId="435392E8" w:rsidR="00180A0B" w:rsidRPr="00E5297F" w:rsidRDefault="00180A0B" w:rsidP="00180A0B">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d. </w:t>
            </w:r>
            <w:r w:rsidR="00442DA5" w:rsidRPr="00E5297F">
              <w:rPr>
                <w:rFonts w:asciiTheme="minorHAnsi" w:hAnsiTheme="minorHAnsi" w:cstheme="minorHAnsi"/>
                <w:b/>
                <w:bCs/>
                <w:sz w:val="22"/>
                <w:lang w:val="en-US"/>
              </w:rPr>
              <w:t>T</w:t>
            </w:r>
            <w:r w:rsidRPr="00E5297F">
              <w:rPr>
                <w:rFonts w:asciiTheme="minorHAnsi" w:hAnsiTheme="minorHAnsi" w:cstheme="minorHAnsi"/>
                <w:b/>
                <w:bCs/>
                <w:sz w:val="22"/>
                <w:lang w:val="en-US"/>
              </w:rPr>
              <w:t xml:space="preserve">he organisational structure of the branch </w:t>
            </w:r>
          </w:p>
        </w:tc>
      </w:tr>
      <w:tr w:rsidR="00180A0B" w:rsidRPr="00E5297F" w14:paraId="07491E87" w14:textId="77777777" w:rsidTr="00F636A7">
        <w:trPr>
          <w:trHeight w:val="1714"/>
        </w:trPr>
        <w:tc>
          <w:tcPr>
            <w:tcW w:w="494" w:type="dxa"/>
            <w:tcBorders>
              <w:top w:val="single" w:sz="4" w:space="0" w:color="000000"/>
              <w:left w:val="single" w:sz="4" w:space="0" w:color="000000"/>
              <w:bottom w:val="single" w:sz="4" w:space="0" w:color="000000"/>
              <w:right w:val="single" w:sz="4" w:space="0" w:color="000000"/>
            </w:tcBorders>
          </w:tcPr>
          <w:p w14:paraId="0C72DFEA"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tcPr>
          <w:p w14:paraId="2E04C011" w14:textId="1B24C60F" w:rsidR="00180A0B" w:rsidRPr="00E5297F" w:rsidRDefault="00180A0B" w:rsidP="00180A0B">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r>
      <w:tr w:rsidR="00180A0B" w:rsidRPr="00E5297F" w14:paraId="2CD3EF31" w14:textId="77777777" w:rsidTr="004D0690">
        <w:trPr>
          <w:trHeight w:val="1407"/>
        </w:trPr>
        <w:tc>
          <w:tcPr>
            <w:tcW w:w="494" w:type="dxa"/>
            <w:tcBorders>
              <w:top w:val="single" w:sz="4" w:space="0" w:color="000000"/>
              <w:left w:val="single" w:sz="4" w:space="0" w:color="000000"/>
              <w:bottom w:val="single" w:sz="4" w:space="0" w:color="000000"/>
              <w:right w:val="single" w:sz="4" w:space="0" w:color="000000"/>
            </w:tcBorders>
          </w:tcPr>
          <w:p w14:paraId="0D03D311"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vAlign w:val="bottom"/>
          </w:tcPr>
          <w:p w14:paraId="598BFB6C" w14:textId="0B30B3D1" w:rsidR="00180A0B" w:rsidRPr="00E5297F" w:rsidRDefault="00180A0B" w:rsidP="004D0690">
            <w:pPr>
              <w:spacing w:after="251" w:line="259" w:lineRule="auto"/>
              <w:rPr>
                <w:rFonts w:asciiTheme="minorHAnsi" w:hAnsiTheme="minorHAnsi" w:cstheme="minorHAnsi"/>
                <w:b/>
                <w:bCs/>
                <w:sz w:val="22"/>
                <w:lang w:val="en-US"/>
              </w:rPr>
            </w:pPr>
            <w:r w:rsidRPr="00E5297F">
              <w:rPr>
                <w:rFonts w:asciiTheme="minorHAnsi" w:hAnsiTheme="minorHAnsi" w:cstheme="minorHAnsi"/>
                <w:b/>
                <w:bCs/>
                <w:sz w:val="22"/>
                <w:lang w:val="en-US"/>
              </w:rPr>
              <w:t xml:space="preserve">e. </w:t>
            </w:r>
            <w:r w:rsidR="00442DA5" w:rsidRPr="00E5297F">
              <w:rPr>
                <w:rFonts w:asciiTheme="minorHAnsi" w:hAnsiTheme="minorHAnsi" w:cstheme="minorHAnsi"/>
                <w:b/>
                <w:bCs/>
                <w:sz w:val="22"/>
                <w:lang w:val="en-US"/>
              </w:rPr>
              <w:t>I</w:t>
            </w:r>
            <w:r w:rsidRPr="00E5297F">
              <w:rPr>
                <w:rFonts w:asciiTheme="minorHAnsi" w:hAnsiTheme="minorHAnsi" w:cstheme="minorHAnsi"/>
                <w:b/>
                <w:bCs/>
                <w:sz w:val="22"/>
                <w:lang w:val="en-US"/>
              </w:rPr>
              <w:t xml:space="preserve">f available, for the first three financial years of the branch: </w:t>
            </w:r>
          </w:p>
          <w:p w14:paraId="4936E529" w14:textId="77777777" w:rsidR="004D0690" w:rsidRPr="00E5297F" w:rsidRDefault="00180A0B" w:rsidP="004D0690">
            <w:pPr>
              <w:numPr>
                <w:ilvl w:val="0"/>
                <w:numId w:val="1"/>
              </w:numPr>
              <w:spacing w:after="16" w:line="256" w:lineRule="auto"/>
              <w:ind w:hanging="360"/>
              <w:rPr>
                <w:rFonts w:asciiTheme="minorHAnsi" w:hAnsiTheme="minorHAnsi" w:cstheme="minorHAnsi"/>
                <w:b/>
                <w:bCs/>
                <w:sz w:val="22"/>
                <w:lang w:val="en-US"/>
              </w:rPr>
            </w:pPr>
            <w:r w:rsidRPr="00E5297F">
              <w:rPr>
                <w:rFonts w:asciiTheme="minorHAnsi" w:hAnsiTheme="minorHAnsi" w:cstheme="minorHAnsi"/>
                <w:b/>
                <w:bCs/>
                <w:sz w:val="22"/>
                <w:lang w:val="en-US"/>
              </w:rPr>
              <w:t xml:space="preserve">estimates of management expenses, other that installation costs. In particular, general expenses and commissions </w:t>
            </w:r>
          </w:p>
          <w:p w14:paraId="66C4F410" w14:textId="44FA1650" w:rsidR="00180A0B" w:rsidRPr="00E5297F" w:rsidRDefault="00180A0B" w:rsidP="004D0690">
            <w:pPr>
              <w:numPr>
                <w:ilvl w:val="0"/>
                <w:numId w:val="1"/>
              </w:numPr>
              <w:spacing w:after="16" w:line="256" w:lineRule="auto"/>
              <w:ind w:hanging="360"/>
              <w:rPr>
                <w:rFonts w:asciiTheme="minorHAnsi" w:hAnsiTheme="minorHAnsi" w:cstheme="minorHAnsi"/>
                <w:sz w:val="22"/>
                <w:lang w:val="en-US"/>
              </w:rPr>
            </w:pPr>
            <w:r w:rsidRPr="00E5297F">
              <w:rPr>
                <w:rFonts w:asciiTheme="minorHAnsi" w:hAnsiTheme="minorHAnsi" w:cstheme="minorHAnsi"/>
                <w:b/>
                <w:bCs/>
                <w:sz w:val="22"/>
                <w:lang w:val="en-US"/>
              </w:rPr>
              <w:t>estimates of premiums or contributions and claims</w:t>
            </w:r>
            <w:r w:rsidRPr="00E5297F">
              <w:rPr>
                <w:rFonts w:asciiTheme="minorHAnsi" w:hAnsiTheme="minorHAnsi" w:cstheme="minorHAnsi"/>
                <w:sz w:val="22"/>
                <w:lang w:val="en-US"/>
              </w:rPr>
              <w:t xml:space="preserve"> </w:t>
            </w:r>
          </w:p>
        </w:tc>
      </w:tr>
      <w:tr w:rsidR="00180A0B" w:rsidRPr="00E5297F" w14:paraId="6D531551" w14:textId="77777777" w:rsidTr="00F636A7">
        <w:trPr>
          <w:trHeight w:val="1714"/>
        </w:trPr>
        <w:tc>
          <w:tcPr>
            <w:tcW w:w="494" w:type="dxa"/>
            <w:tcBorders>
              <w:top w:val="single" w:sz="4" w:space="0" w:color="000000"/>
              <w:left w:val="single" w:sz="4" w:space="0" w:color="000000"/>
              <w:bottom w:val="single" w:sz="4" w:space="0" w:color="000000"/>
              <w:right w:val="single" w:sz="4" w:space="0" w:color="000000"/>
            </w:tcBorders>
          </w:tcPr>
          <w:p w14:paraId="19BA8B58" w14:textId="77777777" w:rsidR="00180A0B" w:rsidRPr="00E5297F" w:rsidRDefault="00180A0B" w:rsidP="00180A0B">
            <w:pPr>
              <w:spacing w:after="0" w:line="259" w:lineRule="auto"/>
              <w:ind w:left="0" w:firstLine="0"/>
              <w:rPr>
                <w:rFonts w:asciiTheme="minorHAnsi" w:hAnsiTheme="minorHAnsi" w:cstheme="minorHAnsi"/>
                <w:sz w:val="22"/>
                <w:lang w:val="en-US"/>
              </w:rPr>
            </w:pPr>
          </w:p>
        </w:tc>
        <w:tc>
          <w:tcPr>
            <w:tcW w:w="8976" w:type="dxa"/>
            <w:tcBorders>
              <w:top w:val="single" w:sz="4" w:space="0" w:color="000000"/>
              <w:left w:val="single" w:sz="4" w:space="0" w:color="000000"/>
              <w:bottom w:val="single" w:sz="4" w:space="0" w:color="000000"/>
              <w:right w:val="single" w:sz="4" w:space="0" w:color="000000"/>
            </w:tcBorders>
            <w:vAlign w:val="bottom"/>
          </w:tcPr>
          <w:p w14:paraId="2765A66F" w14:textId="77777777" w:rsidR="00180A0B" w:rsidRPr="00E5297F" w:rsidRDefault="00180A0B" w:rsidP="00180A0B">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p w14:paraId="01AEBA48" w14:textId="77777777" w:rsidR="00180A0B" w:rsidRPr="00E5297F" w:rsidRDefault="00180A0B" w:rsidP="00180A0B">
            <w:pPr>
              <w:spacing w:after="188" w:line="259" w:lineRule="auto"/>
              <w:ind w:left="0" w:firstLine="0"/>
              <w:jc w:val="right"/>
              <w:rPr>
                <w:rFonts w:asciiTheme="minorHAnsi" w:hAnsiTheme="minorHAnsi" w:cstheme="minorHAnsi"/>
                <w:sz w:val="22"/>
                <w:lang w:val="en-US"/>
              </w:rPr>
            </w:pPr>
            <w:r w:rsidRPr="00E5297F">
              <w:rPr>
                <w:rFonts w:asciiTheme="minorHAnsi" w:hAnsiTheme="minorHAnsi" w:cstheme="minorHAnsi"/>
                <w:sz w:val="22"/>
                <w:lang w:val="en-US"/>
              </w:rPr>
              <w:t xml:space="preserve"> </w:t>
            </w:r>
          </w:p>
          <w:p w14:paraId="24806944" w14:textId="272D1A59" w:rsidR="00180A0B" w:rsidRPr="00E5297F" w:rsidRDefault="00180A0B" w:rsidP="00180A0B">
            <w:pPr>
              <w:spacing w:after="251" w:line="259" w:lineRule="auto"/>
              <w:ind w:left="317"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r>
      <w:tr w:rsidR="004D0690" w:rsidRPr="00E5297F" w14:paraId="3792FFFB" w14:textId="77777777" w:rsidTr="004D0690">
        <w:trPr>
          <w:trHeight w:val="917"/>
        </w:trPr>
        <w:tc>
          <w:tcPr>
            <w:tcW w:w="494" w:type="dxa"/>
            <w:tcBorders>
              <w:top w:val="single" w:sz="4" w:space="0" w:color="000000"/>
              <w:left w:val="single" w:sz="4" w:space="0" w:color="000000"/>
              <w:bottom w:val="single" w:sz="4" w:space="0" w:color="000000"/>
              <w:right w:val="single" w:sz="4" w:space="0" w:color="000000"/>
            </w:tcBorders>
          </w:tcPr>
          <w:p w14:paraId="05349C89" w14:textId="5DE3DBD1"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5. </w:t>
            </w:r>
          </w:p>
        </w:tc>
        <w:tc>
          <w:tcPr>
            <w:tcW w:w="8976" w:type="dxa"/>
            <w:tcBorders>
              <w:top w:val="single" w:sz="4" w:space="0" w:color="000000"/>
              <w:left w:val="single" w:sz="4" w:space="0" w:color="000000"/>
              <w:bottom w:val="single" w:sz="4" w:space="0" w:color="000000"/>
              <w:right w:val="single" w:sz="4" w:space="0" w:color="000000"/>
            </w:tcBorders>
            <w:vAlign w:val="bottom"/>
          </w:tcPr>
          <w:p w14:paraId="4E65EF1D" w14:textId="542357E5" w:rsidR="004D0690" w:rsidRPr="00E5297F" w:rsidRDefault="00442DA5" w:rsidP="004D0690">
            <w:pPr>
              <w:spacing w:after="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T</w:t>
            </w:r>
            <w:r w:rsidR="004D0690" w:rsidRPr="00E5297F">
              <w:rPr>
                <w:rFonts w:asciiTheme="minorHAnsi" w:hAnsiTheme="minorHAnsi" w:cstheme="minorHAnsi"/>
                <w:b/>
                <w:bCs/>
                <w:sz w:val="22"/>
                <w:lang w:val="en-US"/>
              </w:rPr>
              <w:t xml:space="preserve">he name of a person, and if available the e-mail address, who possesses sufficient powers to bind, in relation to third parties, the insurance undertaking or, in the case of Lloyd’s, the underwriters concerned and to represent it or them in relations with the authorities and courts of the host Member State (the authorised agent) and description of their powers </w:t>
            </w:r>
            <w:r w:rsidR="00E5297F" w:rsidRPr="00154AAB">
              <w:rPr>
                <w:rFonts w:asciiTheme="minorHAnsi" w:eastAsia="Verdana" w:hAnsiTheme="minorHAnsi" w:cstheme="minorHAnsi"/>
                <w:b/>
                <w:sz w:val="22"/>
              </w:rPr>
              <w:t>(</w:t>
            </w:r>
            <w:r w:rsidR="00E5297F" w:rsidRPr="00154AAB">
              <w:rPr>
                <w:rFonts w:asciiTheme="minorHAnsi" w:hAnsiTheme="minorHAnsi" w:cstheme="minorHAnsi"/>
                <w:b/>
                <w:color w:val="000000" w:themeColor="text1"/>
                <w:sz w:val="22"/>
              </w:rPr>
              <w:t>3.1.1.1.e)</w:t>
            </w:r>
          </w:p>
        </w:tc>
      </w:tr>
      <w:tr w:rsidR="004D0690" w:rsidRPr="00E5297F" w14:paraId="27E80967" w14:textId="77777777" w:rsidTr="00DF6A50">
        <w:trPr>
          <w:trHeight w:val="1714"/>
        </w:trPr>
        <w:tc>
          <w:tcPr>
            <w:tcW w:w="494" w:type="dxa"/>
            <w:tcBorders>
              <w:top w:val="single" w:sz="4" w:space="0" w:color="000000"/>
              <w:left w:val="single" w:sz="4" w:space="0" w:color="000000"/>
              <w:bottom w:val="single" w:sz="4" w:space="0" w:color="000000"/>
              <w:right w:val="single" w:sz="4" w:space="0" w:color="000000"/>
            </w:tcBorders>
            <w:vAlign w:val="center"/>
          </w:tcPr>
          <w:p w14:paraId="169B844F" w14:textId="0BBD8B7D"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vAlign w:val="bottom"/>
          </w:tcPr>
          <w:p w14:paraId="672F9806" w14:textId="77777777" w:rsidR="004D0690" w:rsidRPr="00E5297F" w:rsidRDefault="004D0690" w:rsidP="004D0690">
            <w:pPr>
              <w:spacing w:after="0" w:line="250" w:lineRule="auto"/>
              <w:ind w:left="0" w:firstLine="0"/>
              <w:rPr>
                <w:rFonts w:asciiTheme="minorHAnsi" w:hAnsiTheme="minorHAnsi" w:cstheme="minorHAnsi"/>
                <w:sz w:val="22"/>
                <w:lang w:val="en-US"/>
              </w:rPr>
            </w:pPr>
          </w:p>
        </w:tc>
      </w:tr>
      <w:tr w:rsidR="004D0690" w:rsidRPr="00E5297F" w14:paraId="6E230085" w14:textId="77777777" w:rsidTr="004D0690">
        <w:trPr>
          <w:trHeight w:val="706"/>
        </w:trPr>
        <w:tc>
          <w:tcPr>
            <w:tcW w:w="494" w:type="dxa"/>
            <w:tcBorders>
              <w:top w:val="single" w:sz="4" w:space="0" w:color="000000"/>
              <w:left w:val="single" w:sz="4" w:space="0" w:color="000000"/>
              <w:bottom w:val="single" w:sz="4" w:space="0" w:color="000000"/>
              <w:right w:val="single" w:sz="4" w:space="0" w:color="000000"/>
            </w:tcBorders>
          </w:tcPr>
          <w:p w14:paraId="0662FB64" w14:textId="4FD7E407"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lastRenderedPageBreak/>
              <w:t xml:space="preserve">6. </w:t>
            </w:r>
          </w:p>
        </w:tc>
        <w:tc>
          <w:tcPr>
            <w:tcW w:w="8976" w:type="dxa"/>
            <w:tcBorders>
              <w:top w:val="single" w:sz="4" w:space="0" w:color="000000"/>
              <w:left w:val="single" w:sz="4" w:space="0" w:color="000000"/>
              <w:bottom w:val="single" w:sz="4" w:space="0" w:color="000000"/>
              <w:right w:val="single" w:sz="4" w:space="0" w:color="000000"/>
            </w:tcBorders>
            <w:vAlign w:val="bottom"/>
          </w:tcPr>
          <w:p w14:paraId="1E52EB8B" w14:textId="56B2476F" w:rsidR="004D0690" w:rsidRPr="00E5297F" w:rsidRDefault="00442DA5" w:rsidP="004D0690">
            <w:pPr>
              <w:spacing w:after="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I</w:t>
            </w:r>
            <w:r w:rsidR="004D0690" w:rsidRPr="00E5297F">
              <w:rPr>
                <w:rFonts w:asciiTheme="minorHAnsi" w:hAnsiTheme="minorHAnsi" w:cstheme="minorHAnsi"/>
                <w:b/>
                <w:bCs/>
                <w:sz w:val="22"/>
                <w:lang w:val="en-US"/>
              </w:rPr>
              <w:t xml:space="preserve">f the insurance undertaking is to cover risks in class 10 in Part A of Annex I to the Solvency II Directive, not including carrier’s liability, a declaration that the undertaking has become a member of the national bureau and the national guarantee fund of the Host Member State </w:t>
            </w:r>
            <w:r w:rsidR="00E5297F" w:rsidRPr="00E26CAF">
              <w:rPr>
                <w:rFonts w:asciiTheme="minorHAnsi" w:eastAsia="Verdana" w:hAnsiTheme="minorHAnsi" w:cstheme="minorHAnsi"/>
                <w:b/>
                <w:sz w:val="22"/>
              </w:rPr>
              <w:t>(</w:t>
            </w:r>
            <w:r w:rsidR="00E5297F" w:rsidRPr="00E26CAF">
              <w:rPr>
                <w:rFonts w:asciiTheme="minorHAnsi" w:hAnsiTheme="minorHAnsi" w:cstheme="minorHAnsi"/>
                <w:b/>
                <w:color w:val="000000" w:themeColor="text1"/>
                <w:sz w:val="22"/>
              </w:rPr>
              <w:t>3.1.1.1.f)</w:t>
            </w:r>
            <w:r w:rsidR="004D0690" w:rsidRPr="00E5297F">
              <w:rPr>
                <w:rFonts w:asciiTheme="minorHAnsi" w:hAnsiTheme="minorHAnsi" w:cstheme="minorHAnsi"/>
                <w:b/>
                <w:bCs/>
                <w:sz w:val="22"/>
                <w:lang w:val="en-US"/>
              </w:rPr>
              <w:t xml:space="preserve"> </w:t>
            </w:r>
          </w:p>
        </w:tc>
      </w:tr>
      <w:tr w:rsidR="004D0690" w:rsidRPr="00E5297F" w14:paraId="0743F83D" w14:textId="77777777" w:rsidTr="00DF6A50">
        <w:trPr>
          <w:trHeight w:val="1714"/>
        </w:trPr>
        <w:tc>
          <w:tcPr>
            <w:tcW w:w="494" w:type="dxa"/>
            <w:tcBorders>
              <w:top w:val="single" w:sz="4" w:space="0" w:color="000000"/>
              <w:left w:val="single" w:sz="4" w:space="0" w:color="000000"/>
              <w:bottom w:val="single" w:sz="4" w:space="0" w:color="000000"/>
              <w:right w:val="single" w:sz="4" w:space="0" w:color="000000"/>
            </w:tcBorders>
            <w:vAlign w:val="bottom"/>
          </w:tcPr>
          <w:p w14:paraId="2D87B29A" w14:textId="5596FF4B"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49DB9084" w14:textId="77777777" w:rsidR="004D0690" w:rsidRPr="00E5297F" w:rsidRDefault="004D0690" w:rsidP="004D0690">
            <w:pPr>
              <w:spacing w:after="0" w:line="250" w:lineRule="auto"/>
              <w:ind w:left="0" w:firstLine="0"/>
              <w:rPr>
                <w:rFonts w:asciiTheme="minorHAnsi" w:hAnsiTheme="minorHAnsi" w:cstheme="minorHAnsi"/>
                <w:sz w:val="22"/>
                <w:lang w:val="en-US"/>
              </w:rPr>
            </w:pPr>
          </w:p>
        </w:tc>
      </w:tr>
      <w:tr w:rsidR="004D0690" w:rsidRPr="00E5297F" w14:paraId="515D0239" w14:textId="77777777" w:rsidTr="004D0690">
        <w:trPr>
          <w:trHeight w:val="566"/>
        </w:trPr>
        <w:tc>
          <w:tcPr>
            <w:tcW w:w="494" w:type="dxa"/>
            <w:tcBorders>
              <w:top w:val="single" w:sz="4" w:space="0" w:color="000000"/>
              <w:left w:val="single" w:sz="4" w:space="0" w:color="000000"/>
              <w:bottom w:val="single" w:sz="4" w:space="0" w:color="000000"/>
              <w:right w:val="single" w:sz="4" w:space="0" w:color="000000"/>
            </w:tcBorders>
          </w:tcPr>
          <w:p w14:paraId="45FDBC29" w14:textId="782B2955"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7. </w:t>
            </w:r>
          </w:p>
        </w:tc>
        <w:tc>
          <w:tcPr>
            <w:tcW w:w="8976" w:type="dxa"/>
            <w:tcBorders>
              <w:top w:val="single" w:sz="4" w:space="0" w:color="000000"/>
              <w:left w:val="single" w:sz="4" w:space="0" w:color="000000"/>
              <w:bottom w:val="single" w:sz="4" w:space="0" w:color="000000"/>
              <w:right w:val="single" w:sz="4" w:space="0" w:color="000000"/>
            </w:tcBorders>
            <w:vAlign w:val="bottom"/>
          </w:tcPr>
          <w:p w14:paraId="32285BF8" w14:textId="7B06AF6D" w:rsidR="004D0690" w:rsidRPr="00E5297F" w:rsidRDefault="00442DA5" w:rsidP="004D0690">
            <w:pPr>
              <w:spacing w:after="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I</w:t>
            </w:r>
            <w:r w:rsidR="004D0690" w:rsidRPr="00E5297F">
              <w:rPr>
                <w:rFonts w:asciiTheme="minorHAnsi" w:hAnsiTheme="minorHAnsi" w:cstheme="minorHAnsi"/>
                <w:b/>
                <w:bCs/>
                <w:sz w:val="22"/>
                <w:lang w:val="en-US"/>
              </w:rPr>
              <w:t xml:space="preserve">n cases where the insurance undertaking intends to cover risks relating to legal expenses insurance, the option chosen from those described in Article 200 of the Solvency II Directive  </w:t>
            </w:r>
            <w:r w:rsidR="00E5297F" w:rsidRPr="004D22A1">
              <w:rPr>
                <w:rFonts w:asciiTheme="minorHAnsi" w:eastAsia="Verdana" w:hAnsiTheme="minorHAnsi" w:cstheme="minorHAnsi"/>
                <w:b/>
                <w:sz w:val="22"/>
              </w:rPr>
              <w:t>(</w:t>
            </w:r>
            <w:r w:rsidR="00E5297F" w:rsidRPr="004D22A1">
              <w:rPr>
                <w:rFonts w:asciiTheme="minorHAnsi" w:hAnsiTheme="minorHAnsi" w:cstheme="minorHAnsi"/>
                <w:b/>
                <w:color w:val="000000" w:themeColor="text1"/>
                <w:sz w:val="22"/>
              </w:rPr>
              <w:t>3.1.1.1.g)</w:t>
            </w:r>
          </w:p>
        </w:tc>
      </w:tr>
      <w:tr w:rsidR="004D0690" w:rsidRPr="00E5297F" w14:paraId="288768C5" w14:textId="77777777" w:rsidTr="00E5297F">
        <w:trPr>
          <w:trHeight w:val="2296"/>
        </w:trPr>
        <w:tc>
          <w:tcPr>
            <w:tcW w:w="494" w:type="dxa"/>
            <w:tcBorders>
              <w:top w:val="single" w:sz="4" w:space="0" w:color="000000"/>
              <w:left w:val="single" w:sz="4" w:space="0" w:color="000000"/>
              <w:bottom w:val="single" w:sz="4" w:space="0" w:color="000000"/>
              <w:right w:val="single" w:sz="4" w:space="0" w:color="000000"/>
            </w:tcBorders>
            <w:vAlign w:val="bottom"/>
          </w:tcPr>
          <w:p w14:paraId="63588BE9" w14:textId="6DCB1785"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56FC4F9F" w14:textId="77777777" w:rsidR="004D0690" w:rsidRPr="00E5297F" w:rsidRDefault="004D0690" w:rsidP="004D0690">
            <w:pPr>
              <w:spacing w:after="0" w:line="250" w:lineRule="auto"/>
              <w:ind w:left="0" w:firstLine="0"/>
              <w:rPr>
                <w:rFonts w:asciiTheme="minorHAnsi" w:hAnsiTheme="minorHAnsi" w:cstheme="minorHAnsi"/>
                <w:sz w:val="22"/>
                <w:lang w:val="en-US"/>
              </w:rPr>
            </w:pPr>
          </w:p>
        </w:tc>
      </w:tr>
      <w:tr w:rsidR="004D0690" w:rsidRPr="00E5297F" w14:paraId="75F90886" w14:textId="77777777" w:rsidTr="004D0690">
        <w:trPr>
          <w:trHeight w:val="416"/>
        </w:trPr>
        <w:tc>
          <w:tcPr>
            <w:tcW w:w="494" w:type="dxa"/>
            <w:tcBorders>
              <w:top w:val="single" w:sz="4" w:space="0" w:color="000000"/>
              <w:left w:val="single" w:sz="4" w:space="0" w:color="000000"/>
              <w:bottom w:val="single" w:sz="4" w:space="0" w:color="000000"/>
              <w:right w:val="single" w:sz="4" w:space="0" w:color="000000"/>
            </w:tcBorders>
          </w:tcPr>
          <w:p w14:paraId="51799563" w14:textId="6DC8EF64"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8. </w:t>
            </w:r>
          </w:p>
        </w:tc>
        <w:tc>
          <w:tcPr>
            <w:tcW w:w="8976" w:type="dxa"/>
            <w:tcBorders>
              <w:top w:val="single" w:sz="4" w:space="0" w:color="000000"/>
              <w:left w:val="single" w:sz="4" w:space="0" w:color="000000"/>
              <w:bottom w:val="single" w:sz="4" w:space="0" w:color="000000"/>
              <w:right w:val="single" w:sz="4" w:space="0" w:color="000000"/>
            </w:tcBorders>
            <w:vAlign w:val="bottom"/>
          </w:tcPr>
          <w:p w14:paraId="4064CC29" w14:textId="50CA15B7" w:rsidR="004D0690" w:rsidRPr="00E5297F" w:rsidRDefault="00442DA5" w:rsidP="004D0690">
            <w:pPr>
              <w:spacing w:after="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T</w:t>
            </w:r>
            <w:r w:rsidR="004D0690" w:rsidRPr="00E5297F">
              <w:rPr>
                <w:rFonts w:asciiTheme="minorHAnsi" w:hAnsiTheme="minorHAnsi" w:cstheme="minorHAnsi"/>
                <w:b/>
                <w:bCs/>
                <w:sz w:val="22"/>
                <w:lang w:val="en-US"/>
              </w:rPr>
              <w:t xml:space="preserve">he legal entity identifier (LEI) of the undertaking notifying the intention to establish a branch (or if not available, the identification code used in the local market allocated by the Supervisory Authority) </w:t>
            </w:r>
            <w:r w:rsidR="00E5297F" w:rsidRPr="00E26CAF">
              <w:rPr>
                <w:rFonts w:asciiTheme="minorHAnsi" w:eastAsia="Verdana" w:hAnsiTheme="minorHAnsi" w:cstheme="minorHAnsi"/>
                <w:b/>
                <w:sz w:val="22"/>
              </w:rPr>
              <w:t>(</w:t>
            </w:r>
            <w:r w:rsidR="00E5297F" w:rsidRPr="00E26CAF">
              <w:rPr>
                <w:rFonts w:asciiTheme="minorHAnsi" w:hAnsiTheme="minorHAnsi" w:cstheme="minorHAnsi"/>
                <w:b/>
                <w:color w:val="000000" w:themeColor="text1"/>
                <w:sz w:val="22"/>
              </w:rPr>
              <w:t>3.1.1.2.a)</w:t>
            </w:r>
          </w:p>
        </w:tc>
      </w:tr>
      <w:tr w:rsidR="004D0690" w:rsidRPr="00E5297F" w14:paraId="4C522C92" w14:textId="77777777" w:rsidTr="00E5297F">
        <w:trPr>
          <w:trHeight w:val="869"/>
        </w:trPr>
        <w:tc>
          <w:tcPr>
            <w:tcW w:w="494" w:type="dxa"/>
            <w:tcBorders>
              <w:top w:val="single" w:sz="4" w:space="0" w:color="000000"/>
              <w:left w:val="single" w:sz="4" w:space="0" w:color="000000"/>
              <w:bottom w:val="single" w:sz="4" w:space="0" w:color="000000"/>
              <w:right w:val="single" w:sz="4" w:space="0" w:color="000000"/>
            </w:tcBorders>
            <w:vAlign w:val="bottom"/>
          </w:tcPr>
          <w:p w14:paraId="24E4FD08" w14:textId="0784B755"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vAlign w:val="bottom"/>
          </w:tcPr>
          <w:p w14:paraId="7FCBE662" w14:textId="77777777" w:rsidR="004D0690" w:rsidRPr="00E5297F" w:rsidRDefault="004D0690" w:rsidP="004D0690">
            <w:pPr>
              <w:spacing w:after="0" w:line="250" w:lineRule="auto"/>
              <w:ind w:left="0" w:firstLine="0"/>
              <w:rPr>
                <w:rFonts w:asciiTheme="minorHAnsi" w:hAnsiTheme="minorHAnsi" w:cstheme="minorHAnsi"/>
                <w:sz w:val="22"/>
                <w:lang w:val="en-US"/>
              </w:rPr>
            </w:pPr>
          </w:p>
        </w:tc>
      </w:tr>
      <w:tr w:rsidR="004D0690" w:rsidRPr="00E5297F" w14:paraId="69DA10BE" w14:textId="77777777" w:rsidTr="004D0690">
        <w:trPr>
          <w:trHeight w:val="917"/>
        </w:trPr>
        <w:tc>
          <w:tcPr>
            <w:tcW w:w="494" w:type="dxa"/>
            <w:tcBorders>
              <w:top w:val="single" w:sz="4" w:space="0" w:color="000000"/>
              <w:left w:val="single" w:sz="4" w:space="0" w:color="000000"/>
              <w:bottom w:val="single" w:sz="4" w:space="0" w:color="000000"/>
              <w:right w:val="single" w:sz="4" w:space="0" w:color="000000"/>
            </w:tcBorders>
          </w:tcPr>
          <w:p w14:paraId="05E17737" w14:textId="6DC13524"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9. </w:t>
            </w:r>
          </w:p>
        </w:tc>
        <w:tc>
          <w:tcPr>
            <w:tcW w:w="8976" w:type="dxa"/>
            <w:tcBorders>
              <w:top w:val="single" w:sz="4" w:space="0" w:color="000000"/>
              <w:left w:val="single" w:sz="4" w:space="0" w:color="000000"/>
              <w:bottom w:val="single" w:sz="4" w:space="0" w:color="000000"/>
              <w:right w:val="single" w:sz="4" w:space="0" w:color="000000"/>
            </w:tcBorders>
            <w:vAlign w:val="bottom"/>
          </w:tcPr>
          <w:p w14:paraId="35A72F9B" w14:textId="230358A8" w:rsidR="004D0690" w:rsidRPr="00E5297F" w:rsidRDefault="00442DA5" w:rsidP="004D0690">
            <w:pPr>
              <w:spacing w:after="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I</w:t>
            </w:r>
            <w:r w:rsidR="004D0690" w:rsidRPr="00E5297F">
              <w:rPr>
                <w:rFonts w:asciiTheme="minorHAnsi" w:hAnsiTheme="minorHAnsi" w:cstheme="minorHAnsi"/>
                <w:b/>
                <w:bCs/>
                <w:sz w:val="22"/>
                <w:lang w:val="en-US"/>
              </w:rPr>
              <w:t xml:space="preserve">dentification of the person(s) who effectively run the branch or are responsible for key functions for the branch (persons responsible for the activities of the branch within the undertaking (Home Member State)), through for example the person(s) ID card, passport, or nomination document(s) and if so required by the host Member State legislation, her address of residence in the host Member State </w:t>
            </w:r>
            <w:r w:rsidR="00E5297F" w:rsidRPr="00E26CAF">
              <w:rPr>
                <w:rFonts w:asciiTheme="minorHAnsi" w:eastAsia="Verdana" w:hAnsiTheme="minorHAnsi" w:cstheme="minorHAnsi"/>
                <w:b/>
                <w:sz w:val="22"/>
              </w:rPr>
              <w:t>(</w:t>
            </w:r>
            <w:r w:rsidR="00E5297F" w:rsidRPr="00E26CAF">
              <w:rPr>
                <w:rFonts w:asciiTheme="minorHAnsi" w:hAnsiTheme="minorHAnsi" w:cstheme="minorHAnsi"/>
                <w:b/>
                <w:color w:val="000000" w:themeColor="text1"/>
                <w:sz w:val="22"/>
              </w:rPr>
              <w:t>3.1.1.2.b)</w:t>
            </w:r>
          </w:p>
        </w:tc>
      </w:tr>
      <w:tr w:rsidR="004D0690" w:rsidRPr="00E5297F" w14:paraId="65DCD440" w14:textId="77777777" w:rsidTr="00DF6A50">
        <w:trPr>
          <w:trHeight w:val="1714"/>
        </w:trPr>
        <w:tc>
          <w:tcPr>
            <w:tcW w:w="494" w:type="dxa"/>
            <w:tcBorders>
              <w:top w:val="single" w:sz="4" w:space="0" w:color="000000"/>
              <w:left w:val="single" w:sz="4" w:space="0" w:color="000000"/>
              <w:bottom w:val="single" w:sz="4" w:space="0" w:color="000000"/>
              <w:right w:val="single" w:sz="4" w:space="0" w:color="000000"/>
            </w:tcBorders>
          </w:tcPr>
          <w:p w14:paraId="2002C9F1" w14:textId="63C79395"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2609ED2E" w14:textId="77777777" w:rsidR="004D0690" w:rsidRPr="00E5297F" w:rsidRDefault="004D0690" w:rsidP="004D0690">
            <w:pPr>
              <w:spacing w:after="0" w:line="250" w:lineRule="auto"/>
              <w:ind w:left="0" w:firstLine="0"/>
              <w:rPr>
                <w:rFonts w:asciiTheme="minorHAnsi" w:hAnsiTheme="minorHAnsi" w:cstheme="minorHAnsi"/>
                <w:sz w:val="22"/>
                <w:lang w:val="en-US"/>
              </w:rPr>
            </w:pPr>
          </w:p>
        </w:tc>
      </w:tr>
      <w:tr w:rsidR="004D0690" w:rsidRPr="00E5297F" w14:paraId="51052E81" w14:textId="77777777" w:rsidTr="00543E63">
        <w:trPr>
          <w:trHeight w:val="352"/>
        </w:trPr>
        <w:tc>
          <w:tcPr>
            <w:tcW w:w="494" w:type="dxa"/>
            <w:tcBorders>
              <w:top w:val="single" w:sz="4" w:space="0" w:color="000000"/>
              <w:left w:val="single" w:sz="4" w:space="0" w:color="000000"/>
              <w:bottom w:val="single" w:sz="4" w:space="0" w:color="000000"/>
              <w:right w:val="single" w:sz="4" w:space="0" w:color="000000"/>
            </w:tcBorders>
            <w:vAlign w:val="center"/>
          </w:tcPr>
          <w:p w14:paraId="59809E7F" w14:textId="4ED5EEE4"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 xml:space="preserve">11. </w:t>
            </w:r>
          </w:p>
        </w:tc>
        <w:tc>
          <w:tcPr>
            <w:tcW w:w="8976" w:type="dxa"/>
            <w:tcBorders>
              <w:top w:val="single" w:sz="4" w:space="0" w:color="000000"/>
              <w:left w:val="single" w:sz="4" w:space="0" w:color="000000"/>
              <w:bottom w:val="single" w:sz="4" w:space="0" w:color="000000"/>
              <w:right w:val="single" w:sz="4" w:space="0" w:color="000000"/>
            </w:tcBorders>
            <w:vAlign w:val="bottom"/>
          </w:tcPr>
          <w:p w14:paraId="364D5D68" w14:textId="222231E7" w:rsidR="004D0690" w:rsidRPr="00E5297F" w:rsidRDefault="00442DA5" w:rsidP="004D0690">
            <w:pPr>
              <w:spacing w:after="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A</w:t>
            </w:r>
            <w:r w:rsidR="004D0690" w:rsidRPr="00E5297F">
              <w:rPr>
                <w:rFonts w:asciiTheme="minorHAnsi" w:hAnsiTheme="minorHAnsi" w:cstheme="minorHAnsi"/>
                <w:b/>
                <w:bCs/>
                <w:sz w:val="22"/>
                <w:lang w:val="en-US"/>
              </w:rPr>
              <w:t xml:space="preserve">ny available information regarding the planned distribution channel(s), relevant outsourcing contracts and partners that will be used in the Host Member State </w:t>
            </w:r>
            <w:r w:rsidR="00E5297F">
              <w:rPr>
                <w:rFonts w:asciiTheme="minorHAnsi" w:eastAsia="Verdana" w:hAnsiTheme="minorHAnsi" w:cstheme="minorHAnsi"/>
                <w:b/>
                <w:sz w:val="22"/>
              </w:rPr>
              <w:t>(</w:t>
            </w:r>
            <w:r w:rsidR="00E5297F" w:rsidRPr="00E26CAF">
              <w:rPr>
                <w:rFonts w:asciiTheme="minorHAnsi" w:hAnsiTheme="minorHAnsi" w:cstheme="minorHAnsi"/>
                <w:b/>
                <w:bCs/>
                <w:color w:val="000000" w:themeColor="text1"/>
                <w:sz w:val="22"/>
              </w:rPr>
              <w:t>3.1.1.2.d)</w:t>
            </w:r>
          </w:p>
        </w:tc>
      </w:tr>
      <w:tr w:rsidR="004D0690" w:rsidRPr="00E5297F" w14:paraId="01E21DD7" w14:textId="77777777" w:rsidTr="00543E63">
        <w:trPr>
          <w:trHeight w:val="2155"/>
        </w:trPr>
        <w:tc>
          <w:tcPr>
            <w:tcW w:w="494" w:type="dxa"/>
            <w:tcBorders>
              <w:top w:val="single" w:sz="4" w:space="0" w:color="000000"/>
              <w:left w:val="single" w:sz="4" w:space="0" w:color="000000"/>
              <w:bottom w:val="single" w:sz="4" w:space="0" w:color="000000"/>
              <w:right w:val="single" w:sz="4" w:space="0" w:color="000000"/>
            </w:tcBorders>
          </w:tcPr>
          <w:p w14:paraId="61EAEA38" w14:textId="5A9F80A5"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tcPr>
          <w:p w14:paraId="0C285218" w14:textId="77777777" w:rsidR="004D0690" w:rsidRPr="00E5297F" w:rsidRDefault="004D0690" w:rsidP="004D0690">
            <w:pPr>
              <w:spacing w:after="0" w:line="250" w:lineRule="auto"/>
              <w:ind w:left="0" w:firstLine="0"/>
              <w:rPr>
                <w:rFonts w:asciiTheme="minorHAnsi" w:hAnsiTheme="minorHAnsi" w:cstheme="minorHAnsi"/>
                <w:sz w:val="22"/>
                <w:lang w:val="en-US"/>
              </w:rPr>
            </w:pPr>
          </w:p>
        </w:tc>
      </w:tr>
      <w:tr w:rsidR="004D0690" w:rsidRPr="00E5297F" w14:paraId="75902799" w14:textId="77777777" w:rsidTr="00543E63">
        <w:trPr>
          <w:trHeight w:val="719"/>
        </w:trPr>
        <w:tc>
          <w:tcPr>
            <w:tcW w:w="494" w:type="dxa"/>
            <w:tcBorders>
              <w:top w:val="single" w:sz="4" w:space="0" w:color="000000"/>
              <w:left w:val="single" w:sz="4" w:space="0" w:color="000000"/>
              <w:bottom w:val="single" w:sz="4" w:space="0" w:color="000000"/>
              <w:right w:val="single" w:sz="4" w:space="0" w:color="000000"/>
            </w:tcBorders>
          </w:tcPr>
          <w:p w14:paraId="18DEED62" w14:textId="6872863E" w:rsidR="004D0690" w:rsidRPr="00E5297F" w:rsidRDefault="004D0690" w:rsidP="004D0690">
            <w:pPr>
              <w:spacing w:after="0" w:line="259"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lastRenderedPageBreak/>
              <w:t>1</w:t>
            </w:r>
            <w:r w:rsidR="00E5297F">
              <w:rPr>
                <w:rFonts w:asciiTheme="minorHAnsi" w:hAnsiTheme="minorHAnsi" w:cstheme="minorHAnsi"/>
                <w:b/>
                <w:bCs/>
                <w:sz w:val="22"/>
                <w:lang w:val="en-US"/>
              </w:rPr>
              <w:t>2</w:t>
            </w:r>
            <w:r w:rsidRPr="00E5297F">
              <w:rPr>
                <w:rFonts w:asciiTheme="minorHAnsi" w:hAnsiTheme="minorHAnsi" w:cstheme="minorHAnsi"/>
                <w:b/>
                <w:bCs/>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vAlign w:val="bottom"/>
          </w:tcPr>
          <w:p w14:paraId="3B458871" w14:textId="7318F5B9" w:rsidR="004D0690" w:rsidRPr="00E5297F" w:rsidRDefault="004D0690" w:rsidP="00543E63">
            <w:pPr>
              <w:spacing w:after="240" w:line="250" w:lineRule="auto"/>
              <w:ind w:left="0" w:firstLine="0"/>
              <w:rPr>
                <w:rFonts w:asciiTheme="minorHAnsi" w:hAnsiTheme="minorHAnsi" w:cstheme="minorHAnsi"/>
                <w:b/>
                <w:bCs/>
                <w:sz w:val="22"/>
                <w:lang w:val="en-US"/>
              </w:rPr>
            </w:pPr>
            <w:r w:rsidRPr="00E5297F">
              <w:rPr>
                <w:rFonts w:asciiTheme="minorHAnsi" w:hAnsiTheme="minorHAnsi" w:cstheme="minorHAnsi"/>
                <w:b/>
                <w:bCs/>
                <w:sz w:val="22"/>
                <w:lang w:val="en-US"/>
              </w:rPr>
              <w:t>When an undertaking is authorised in class 18 in Part A of Annex I of the Solvency II Directive</w:t>
            </w:r>
            <w:r w:rsidR="00543E63" w:rsidRPr="00E5297F">
              <w:rPr>
                <w:rFonts w:asciiTheme="minorHAnsi" w:hAnsiTheme="minorHAnsi" w:cstheme="minorHAnsi"/>
                <w:b/>
                <w:bCs/>
                <w:sz w:val="22"/>
                <w:lang w:val="en-US"/>
              </w:rPr>
              <w:t xml:space="preserve"> </w:t>
            </w:r>
            <w:r w:rsidRPr="00E5297F">
              <w:rPr>
                <w:rFonts w:asciiTheme="minorHAnsi" w:hAnsiTheme="minorHAnsi" w:cstheme="minorHAnsi"/>
                <w:b/>
                <w:bCs/>
                <w:sz w:val="22"/>
                <w:lang w:val="en-US"/>
              </w:rPr>
              <w:t xml:space="preserve">any information relating to (assistance) resources available to the undertaking to successfully carry out assistance operations </w:t>
            </w:r>
            <w:r w:rsidR="00E5297F" w:rsidRPr="00760A72">
              <w:rPr>
                <w:rFonts w:asciiTheme="minorHAnsi" w:hAnsiTheme="minorHAnsi" w:cstheme="minorHAnsi"/>
                <w:b/>
                <w:bCs/>
                <w:sz w:val="22"/>
              </w:rPr>
              <w:t>(7.1.1)</w:t>
            </w:r>
          </w:p>
        </w:tc>
      </w:tr>
      <w:tr w:rsidR="004D0690" w:rsidRPr="00E5297F" w14:paraId="4B681531" w14:textId="77777777" w:rsidTr="00DF6A50">
        <w:trPr>
          <w:trHeight w:val="1714"/>
        </w:trPr>
        <w:tc>
          <w:tcPr>
            <w:tcW w:w="494" w:type="dxa"/>
            <w:tcBorders>
              <w:top w:val="single" w:sz="4" w:space="0" w:color="000000"/>
              <w:left w:val="single" w:sz="4" w:space="0" w:color="000000"/>
              <w:bottom w:val="single" w:sz="4" w:space="0" w:color="000000"/>
              <w:right w:val="single" w:sz="4" w:space="0" w:color="000000"/>
            </w:tcBorders>
            <w:vAlign w:val="bottom"/>
          </w:tcPr>
          <w:p w14:paraId="5449AA18" w14:textId="7301E2E5" w:rsidR="004D0690" w:rsidRPr="00E5297F" w:rsidRDefault="004D0690" w:rsidP="004D0690">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z w:val="22"/>
                <w:lang w:val="en-US"/>
              </w:rPr>
              <w:t xml:space="preserve"> </w:t>
            </w:r>
          </w:p>
        </w:tc>
        <w:tc>
          <w:tcPr>
            <w:tcW w:w="8976" w:type="dxa"/>
            <w:tcBorders>
              <w:top w:val="single" w:sz="4" w:space="0" w:color="000000"/>
              <w:left w:val="single" w:sz="4" w:space="0" w:color="000000"/>
              <w:bottom w:val="single" w:sz="4" w:space="0" w:color="000000"/>
              <w:right w:val="single" w:sz="4" w:space="0" w:color="000000"/>
            </w:tcBorders>
            <w:vAlign w:val="bottom"/>
          </w:tcPr>
          <w:p w14:paraId="290F4F75" w14:textId="77777777" w:rsidR="004D0690" w:rsidRPr="00E5297F" w:rsidRDefault="004D0690" w:rsidP="004D0690">
            <w:pPr>
              <w:spacing w:after="240" w:line="250" w:lineRule="auto"/>
              <w:ind w:left="0" w:firstLine="0"/>
              <w:rPr>
                <w:rFonts w:asciiTheme="minorHAnsi" w:hAnsiTheme="minorHAnsi" w:cstheme="minorHAnsi"/>
                <w:sz w:val="22"/>
                <w:lang w:val="en-US"/>
              </w:rPr>
            </w:pPr>
          </w:p>
        </w:tc>
      </w:tr>
    </w:tbl>
    <w:p w14:paraId="325D4A0C" w14:textId="4ABADBA7" w:rsidR="00631A2A" w:rsidRPr="00E5297F" w:rsidRDefault="00955A93">
      <w:pPr>
        <w:spacing w:after="0" w:line="259" w:lineRule="auto"/>
        <w:ind w:left="0" w:firstLine="0"/>
        <w:rPr>
          <w:rFonts w:asciiTheme="minorHAnsi" w:hAnsiTheme="minorHAnsi" w:cstheme="minorHAnsi"/>
          <w:sz w:val="22"/>
          <w:lang w:val="en-US"/>
        </w:rPr>
      </w:pPr>
      <w:r w:rsidRPr="00E5297F">
        <w:rPr>
          <w:rFonts w:asciiTheme="minorHAnsi" w:hAnsiTheme="minorHAnsi" w:cstheme="minorHAnsi"/>
          <w:strike/>
          <w:sz w:val="22"/>
          <w:lang w:val="en-US"/>
        </w:rPr>
        <w:t xml:space="preserve">                                             </w:t>
      </w:r>
      <w:r w:rsidRPr="00E5297F">
        <w:rPr>
          <w:rFonts w:asciiTheme="minorHAnsi" w:hAnsiTheme="minorHAnsi" w:cstheme="minorHAnsi"/>
          <w:sz w:val="22"/>
          <w:lang w:val="en-US"/>
        </w:rPr>
        <w:t xml:space="preserve"> </w:t>
      </w:r>
    </w:p>
    <w:p w14:paraId="62061419" w14:textId="77777777" w:rsidR="00631A2A" w:rsidRPr="00E5297F" w:rsidRDefault="00631A2A">
      <w:pPr>
        <w:spacing w:after="0" w:line="259" w:lineRule="auto"/>
        <w:ind w:left="-1418" w:right="10488" w:firstLine="0"/>
        <w:rPr>
          <w:rFonts w:asciiTheme="minorHAnsi" w:hAnsiTheme="minorHAnsi" w:cstheme="minorHAnsi"/>
          <w:sz w:val="22"/>
          <w:lang w:val="en-US"/>
        </w:rPr>
      </w:pPr>
    </w:p>
    <w:p w14:paraId="22B4C832" w14:textId="77777777" w:rsidR="00631A2A" w:rsidRPr="00E5297F" w:rsidRDefault="00955A93">
      <w:pPr>
        <w:spacing w:after="0" w:line="259" w:lineRule="auto"/>
        <w:ind w:left="0" w:firstLine="0"/>
        <w:jc w:val="both"/>
        <w:rPr>
          <w:rFonts w:asciiTheme="minorHAnsi" w:hAnsiTheme="minorHAnsi" w:cstheme="minorHAnsi"/>
          <w:sz w:val="22"/>
          <w:lang w:val="en-US"/>
        </w:rPr>
      </w:pPr>
      <w:r w:rsidRPr="00E5297F">
        <w:rPr>
          <w:rFonts w:asciiTheme="minorHAnsi" w:hAnsiTheme="minorHAnsi" w:cstheme="minorHAnsi"/>
          <w:sz w:val="22"/>
          <w:lang w:val="en-US"/>
        </w:rPr>
        <w:t xml:space="preserve"> </w:t>
      </w:r>
    </w:p>
    <w:sectPr w:rsidR="00631A2A" w:rsidRPr="00E5297F">
      <w:footerReference w:type="default" r:id="rId7"/>
      <w:pgSz w:w="11906" w:h="16838"/>
      <w:pgMar w:top="1138" w:right="1418" w:bottom="852"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3824" w14:textId="77777777" w:rsidR="00806A7D" w:rsidRDefault="00806A7D" w:rsidP="00806A7D">
      <w:pPr>
        <w:spacing w:after="0" w:line="240" w:lineRule="auto"/>
      </w:pPr>
      <w:r>
        <w:separator/>
      </w:r>
    </w:p>
  </w:endnote>
  <w:endnote w:type="continuationSeparator" w:id="0">
    <w:p w14:paraId="405C8987" w14:textId="77777777" w:rsidR="00806A7D" w:rsidRDefault="00806A7D" w:rsidP="0080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425859"/>
      <w:docPartObj>
        <w:docPartGallery w:val="Page Numbers (Bottom of Page)"/>
        <w:docPartUnique/>
      </w:docPartObj>
    </w:sdtPr>
    <w:sdtEndPr/>
    <w:sdtContent>
      <w:p w14:paraId="39E31236" w14:textId="11FF1598" w:rsidR="00806A7D" w:rsidRDefault="00806A7D">
        <w:pPr>
          <w:pStyle w:val="Pta"/>
          <w:jc w:val="center"/>
        </w:pPr>
        <w:r>
          <w:fldChar w:fldCharType="begin"/>
        </w:r>
        <w:r>
          <w:instrText>PAGE   \* MERGEFORMAT</w:instrText>
        </w:r>
        <w:r>
          <w:fldChar w:fldCharType="separate"/>
        </w:r>
        <w:r>
          <w:t>2</w:t>
        </w:r>
        <w:r>
          <w:fldChar w:fldCharType="end"/>
        </w:r>
      </w:p>
    </w:sdtContent>
  </w:sdt>
  <w:p w14:paraId="3CE2B1B7" w14:textId="77777777" w:rsidR="00806A7D" w:rsidRDefault="00806A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C1F8" w14:textId="77777777" w:rsidR="00806A7D" w:rsidRDefault="00806A7D" w:rsidP="00806A7D">
      <w:pPr>
        <w:spacing w:after="0" w:line="240" w:lineRule="auto"/>
      </w:pPr>
      <w:r>
        <w:separator/>
      </w:r>
    </w:p>
  </w:footnote>
  <w:footnote w:type="continuationSeparator" w:id="0">
    <w:p w14:paraId="10664C25" w14:textId="77777777" w:rsidR="00806A7D" w:rsidRDefault="00806A7D" w:rsidP="00806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A50"/>
    <w:multiLevelType w:val="hybridMultilevel"/>
    <w:tmpl w:val="3E9692A0"/>
    <w:lvl w:ilvl="0" w:tplc="979CAE2A">
      <w:start w:val="1"/>
      <w:numFmt w:val="bullet"/>
      <w:lvlText w:val="•"/>
      <w:lvlJc w:val="left"/>
      <w:pPr>
        <w:ind w:left="1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D4C2E0">
      <w:start w:val="1"/>
      <w:numFmt w:val="bullet"/>
      <w:lvlText w:val="o"/>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12A3CE">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94796C">
      <w:start w:val="1"/>
      <w:numFmt w:val="bullet"/>
      <w:lvlText w:val="•"/>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44F76E">
      <w:start w:val="1"/>
      <w:numFmt w:val="bullet"/>
      <w:lvlText w:val="o"/>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541BEA">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207344">
      <w:start w:val="1"/>
      <w:numFmt w:val="bullet"/>
      <w:lvlText w:val="•"/>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9C2B4C">
      <w:start w:val="1"/>
      <w:numFmt w:val="bullet"/>
      <w:lvlText w:val="o"/>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F68646">
      <w:start w:val="1"/>
      <w:numFmt w:val="bullet"/>
      <w:lvlText w:val="▪"/>
      <w:lvlJc w:val="left"/>
      <w:pPr>
        <w:ind w:left="6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5627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2A"/>
    <w:rsid w:val="00180A0B"/>
    <w:rsid w:val="0025105E"/>
    <w:rsid w:val="00442DA5"/>
    <w:rsid w:val="00463984"/>
    <w:rsid w:val="004D0690"/>
    <w:rsid w:val="00543E63"/>
    <w:rsid w:val="00631A2A"/>
    <w:rsid w:val="007D1309"/>
    <w:rsid w:val="00806A7D"/>
    <w:rsid w:val="00955A93"/>
    <w:rsid w:val="00E529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4FAD"/>
  <w15:docId w15:val="{EC9BC640-D5D0-4511-A9AF-8ACD1083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73" w:line="248" w:lineRule="auto"/>
      <w:ind w:left="10" w:hanging="10"/>
    </w:pPr>
    <w:rPr>
      <w:rFonts w:ascii="Times New Roman" w:eastAsia="Times New Roman" w:hAnsi="Times New Roman" w:cs="Times New Roman"/>
      <w:color w:val="000000"/>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806A7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6A7D"/>
    <w:rPr>
      <w:rFonts w:ascii="Times New Roman" w:eastAsia="Times New Roman" w:hAnsi="Times New Roman" w:cs="Times New Roman"/>
      <w:color w:val="000000"/>
      <w:sz w:val="18"/>
    </w:rPr>
  </w:style>
  <w:style w:type="paragraph" w:styleId="Pta">
    <w:name w:val="footer"/>
    <w:basedOn w:val="Normlny"/>
    <w:link w:val="PtaChar"/>
    <w:uiPriority w:val="99"/>
    <w:unhideWhenUsed/>
    <w:rsid w:val="00806A7D"/>
    <w:pPr>
      <w:tabs>
        <w:tab w:val="center" w:pos="4536"/>
        <w:tab w:val="right" w:pos="9072"/>
      </w:tabs>
      <w:spacing w:after="0" w:line="240" w:lineRule="auto"/>
    </w:pPr>
  </w:style>
  <w:style w:type="character" w:customStyle="1" w:styleId="PtaChar">
    <w:name w:val="Päta Char"/>
    <w:basedOn w:val="Predvolenpsmoodseku"/>
    <w:link w:val="Pta"/>
    <w:uiPriority w:val="99"/>
    <w:rsid w:val="00806A7D"/>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577</Words>
  <Characters>3262</Characters>
  <Application>Microsoft Office Word</Application>
  <DocSecurity>0</DocSecurity>
  <Lines>108</Lines>
  <Paragraphs>38</Paragraphs>
  <ScaleCrop>false</ScaleCrop>
  <HeadingPairs>
    <vt:vector size="2" baseType="variant">
      <vt:variant>
        <vt:lpstr>Názov</vt:lpstr>
      </vt:variant>
      <vt:variant>
        <vt:i4>1</vt:i4>
      </vt:variant>
    </vt:vector>
  </HeadingPairs>
  <TitlesOfParts>
    <vt:vector size="1" baseType="lpstr">
      <vt:lpstr>Microsoft Word - YOUPLUS SK _Questionnaire FOE BOS-21-234.docx</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YOUPLUS SK _Questionnaire FOE BOS-21-234.docx</dc:title>
  <dc:subject/>
  <dc:creator>hoab</dc:creator>
  <cp:keywords/>
  <cp:lastModifiedBy>Feriančeková Adriana</cp:lastModifiedBy>
  <cp:revision>9</cp:revision>
  <dcterms:created xsi:type="dcterms:W3CDTF">2021-10-20T08:48:00Z</dcterms:created>
  <dcterms:modified xsi:type="dcterms:W3CDTF">2024-03-06T13:59:00Z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9284b852e27044b77be58d29215f4054e93782a6d7d70db776041dbc898f2b22</vt:lpwstr>
  </property>
</Properties>
</file>