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6331C" w14:textId="77777777" w:rsidR="00C457A6" w:rsidRPr="00D3207A" w:rsidRDefault="003B58CA" w:rsidP="00CF67AB">
      <w:pPr>
        <w:spacing w:line="240" w:lineRule="auto"/>
        <w:jc w:val="center"/>
        <w:rPr>
          <w:b/>
          <w:bCs/>
        </w:rPr>
      </w:pPr>
      <w:r w:rsidRPr="00D3207A">
        <w:rPr>
          <w:b/>
          <w:bCs/>
        </w:rPr>
        <w:t xml:space="preserve">Recommendation No 4/2022 </w:t>
      </w:r>
    </w:p>
    <w:p w14:paraId="67B4B04F" w14:textId="77777777" w:rsidR="00C457A6" w:rsidRPr="00D3207A" w:rsidRDefault="003B58CA" w:rsidP="00CF67AB">
      <w:pPr>
        <w:spacing w:line="240" w:lineRule="auto"/>
        <w:jc w:val="center"/>
        <w:rPr>
          <w:b/>
          <w:bCs/>
        </w:rPr>
      </w:pPr>
      <w:r w:rsidRPr="00D3207A">
        <w:rPr>
          <w:b/>
          <w:bCs/>
        </w:rPr>
        <w:t xml:space="preserve">of the </w:t>
      </w:r>
      <w:r w:rsidR="00C457A6" w:rsidRPr="00D3207A">
        <w:rPr>
          <w:b/>
          <w:bCs/>
        </w:rPr>
        <w:t xml:space="preserve">financial market supervision units </w:t>
      </w:r>
      <w:r w:rsidRPr="00D3207A">
        <w:rPr>
          <w:b/>
          <w:bCs/>
        </w:rPr>
        <w:t xml:space="preserve">of </w:t>
      </w:r>
      <w:r w:rsidR="006E03C3" w:rsidRPr="00D3207A">
        <w:rPr>
          <w:b/>
          <w:bCs/>
        </w:rPr>
        <w:t>Národná banka Slovenska</w:t>
      </w:r>
      <w:r w:rsidRPr="00D3207A">
        <w:rPr>
          <w:b/>
          <w:bCs/>
        </w:rPr>
        <w:t xml:space="preserve"> </w:t>
      </w:r>
    </w:p>
    <w:p w14:paraId="41DC2ABA" w14:textId="77777777" w:rsidR="00C457A6" w:rsidRPr="00D3207A" w:rsidRDefault="003B58CA" w:rsidP="00CF67AB">
      <w:pPr>
        <w:spacing w:line="240" w:lineRule="auto"/>
        <w:jc w:val="center"/>
        <w:rPr>
          <w:b/>
          <w:bCs/>
        </w:rPr>
      </w:pPr>
      <w:r w:rsidRPr="00D3207A">
        <w:rPr>
          <w:b/>
          <w:bCs/>
        </w:rPr>
        <w:t xml:space="preserve">of 12 September 2022 </w:t>
      </w:r>
    </w:p>
    <w:p w14:paraId="7D02B971" w14:textId="65D315C2" w:rsidR="00A62879" w:rsidRPr="00D3207A" w:rsidRDefault="00C457A6" w:rsidP="005D263F">
      <w:pPr>
        <w:spacing w:after="0" w:line="240" w:lineRule="auto"/>
        <w:jc w:val="center"/>
        <w:rPr>
          <w:b/>
          <w:bCs/>
        </w:rPr>
      </w:pPr>
      <w:r w:rsidRPr="00D3207A">
        <w:rPr>
          <w:b/>
          <w:bCs/>
        </w:rPr>
        <w:t>transposing</w:t>
      </w:r>
      <w:r w:rsidR="003B58CA" w:rsidRPr="00D3207A">
        <w:rPr>
          <w:b/>
          <w:bCs/>
        </w:rPr>
        <w:t xml:space="preserve"> the amended </w:t>
      </w:r>
      <w:r w:rsidRPr="00D3207A">
        <w:rPr>
          <w:b/>
          <w:bCs/>
        </w:rPr>
        <w:t xml:space="preserve">guidelines on valuation of technical provisions for </w:t>
      </w:r>
      <w:r w:rsidRPr="00D3207A">
        <w:rPr>
          <w:b/>
          <w:bCs/>
        </w:rPr>
        <w:br/>
        <w:t xml:space="preserve">insurance and reinsurance undertakings issued </w:t>
      </w:r>
      <w:r w:rsidR="003B58CA" w:rsidRPr="00D3207A">
        <w:rPr>
          <w:b/>
          <w:bCs/>
        </w:rPr>
        <w:t>by the European Insurance and Occupational Pensions Authority (EIOPA)</w:t>
      </w:r>
    </w:p>
    <w:p w14:paraId="6A051772" w14:textId="272F5CFD" w:rsidR="003B58CA" w:rsidRPr="00CF67AB" w:rsidRDefault="003B58CA" w:rsidP="00FC3F7B">
      <w:pPr>
        <w:spacing w:after="0"/>
        <w:ind w:left="1077" w:right="1077"/>
        <w:jc w:val="center"/>
        <w:rPr>
          <w:b/>
          <w:bCs/>
          <w:szCs w:val="22"/>
        </w:rPr>
      </w:pPr>
    </w:p>
    <w:p w14:paraId="1A3E5908" w14:textId="77777777" w:rsidR="00A94723" w:rsidRPr="00CF67AB" w:rsidRDefault="00A94723" w:rsidP="00FC3F7B">
      <w:pPr>
        <w:spacing w:after="0"/>
        <w:ind w:left="1077" w:right="1077"/>
        <w:jc w:val="center"/>
        <w:rPr>
          <w:b/>
          <w:bCs/>
          <w:szCs w:val="22"/>
        </w:rPr>
      </w:pPr>
    </w:p>
    <w:p w14:paraId="194CDAC4" w14:textId="2CD10CA4" w:rsidR="003B58CA" w:rsidRPr="00D3207A" w:rsidRDefault="006E03C3" w:rsidP="005D263F">
      <w:pPr>
        <w:spacing w:after="0"/>
        <w:jc w:val="both"/>
      </w:pPr>
      <w:r w:rsidRPr="00D3207A">
        <w:t>Národná banka Slovenska</w:t>
      </w:r>
      <w:r w:rsidR="003B58CA" w:rsidRPr="00D3207A">
        <w:t xml:space="preserve"> (hereinafter </w:t>
      </w:r>
      <w:r w:rsidRPr="00D3207A">
        <w:t>‘</w:t>
      </w:r>
      <w:r w:rsidR="003B58CA" w:rsidRPr="00D3207A">
        <w:t>NBS</w:t>
      </w:r>
      <w:r w:rsidRPr="00D3207A">
        <w:t>’</w:t>
      </w:r>
      <w:r w:rsidR="003B58CA" w:rsidRPr="00D3207A">
        <w:t xml:space="preserve">) hereby </w:t>
      </w:r>
      <w:r w:rsidR="00C457A6" w:rsidRPr="00D3207A">
        <w:t>transposes</w:t>
      </w:r>
      <w:r w:rsidR="003B58CA" w:rsidRPr="00D3207A">
        <w:t xml:space="preserve"> the Guidelines on Valuation of Technical Provisions and the amended Guidelines on Valuation of Technical Provisions issued by the European Insurance and Occupational Pensions Authority (hereinafter </w:t>
      </w:r>
      <w:r w:rsidRPr="00D3207A">
        <w:t>‘</w:t>
      </w:r>
      <w:r w:rsidR="003B58CA" w:rsidRPr="00D3207A">
        <w:t>EIOPA</w:t>
      </w:r>
      <w:r w:rsidRPr="00D3207A">
        <w:t>’</w:t>
      </w:r>
      <w:r w:rsidR="003B58CA" w:rsidRPr="00D3207A">
        <w:t>) under the numbers EIOPA-BoS-14/166 and EIOPA-BoS-2022/217.</w:t>
      </w:r>
    </w:p>
    <w:p w14:paraId="46B4F70F" w14:textId="7FDE4BD8" w:rsidR="003E706A" w:rsidRDefault="003E706A" w:rsidP="005D263F">
      <w:pPr>
        <w:spacing w:after="0"/>
        <w:jc w:val="both"/>
      </w:pPr>
    </w:p>
    <w:p w14:paraId="0E1090F0" w14:textId="77777777" w:rsidR="00B02D9C" w:rsidRPr="00D3207A" w:rsidRDefault="00B02D9C" w:rsidP="005D263F">
      <w:pPr>
        <w:spacing w:after="0"/>
        <w:jc w:val="both"/>
      </w:pPr>
    </w:p>
    <w:p w14:paraId="5259E2B8" w14:textId="77777777" w:rsidR="00BC4096" w:rsidRPr="00D3207A" w:rsidRDefault="00BC4096" w:rsidP="005D263F">
      <w:pPr>
        <w:pStyle w:val="NoSpacing"/>
        <w:jc w:val="center"/>
        <w:rPr>
          <w:b/>
          <w:bCs/>
          <w:sz w:val="22"/>
          <w:szCs w:val="22"/>
        </w:rPr>
      </w:pPr>
      <w:r w:rsidRPr="00D3207A">
        <w:rPr>
          <w:b/>
          <w:bCs/>
          <w:sz w:val="22"/>
          <w:szCs w:val="22"/>
        </w:rPr>
        <w:t>Article I</w:t>
      </w:r>
    </w:p>
    <w:p w14:paraId="5D5B9CA3" w14:textId="77777777" w:rsidR="00BC4096" w:rsidRPr="00D3207A" w:rsidRDefault="00BC4096" w:rsidP="005D263F">
      <w:pPr>
        <w:pStyle w:val="NoSpacing"/>
        <w:jc w:val="center"/>
        <w:rPr>
          <w:b/>
          <w:bCs/>
          <w:sz w:val="22"/>
          <w:szCs w:val="22"/>
        </w:rPr>
      </w:pPr>
      <w:r w:rsidRPr="00D3207A">
        <w:rPr>
          <w:b/>
          <w:bCs/>
          <w:sz w:val="22"/>
          <w:szCs w:val="22"/>
        </w:rPr>
        <w:t>Introduction</w:t>
      </w:r>
    </w:p>
    <w:p w14:paraId="6601139A" w14:textId="77777777" w:rsidR="00BC4096" w:rsidRPr="00D3207A" w:rsidRDefault="00BC4096" w:rsidP="005D263F">
      <w:pPr>
        <w:spacing w:after="0"/>
        <w:jc w:val="both"/>
      </w:pPr>
    </w:p>
    <w:p w14:paraId="2A989AB5" w14:textId="3BEA6109" w:rsidR="003E706A" w:rsidRPr="00D3207A" w:rsidRDefault="00154429" w:rsidP="005D263F">
      <w:pPr>
        <w:spacing w:after="0"/>
        <w:jc w:val="both"/>
      </w:pPr>
      <w:r w:rsidRPr="00D3207A">
        <w:t xml:space="preserve">(1) </w:t>
      </w:r>
      <w:r w:rsidR="00907445">
        <w:t>I</w:t>
      </w:r>
      <w:r w:rsidRPr="00D3207A">
        <w:t xml:space="preserve">n accordance with Article 16 of Regulation (EU) No 1094/2010 of 24 November 2010 (hereinafter </w:t>
      </w:r>
      <w:r w:rsidR="00C457A6" w:rsidRPr="00D3207A">
        <w:t>‘</w:t>
      </w:r>
      <w:r w:rsidRPr="00D3207A">
        <w:t>the EIOPA Regulation</w:t>
      </w:r>
      <w:r w:rsidR="00C457A6" w:rsidRPr="00D3207A">
        <w:t>’</w:t>
      </w:r>
      <w:r w:rsidRPr="00D3207A">
        <w:t>)</w:t>
      </w:r>
      <w:r w:rsidR="00C457A6" w:rsidRPr="00D3207A">
        <w:t xml:space="preserve"> </w:t>
      </w:r>
      <w:r w:rsidRPr="00D3207A">
        <w:t xml:space="preserve">and Articles 76 to 86 and 48 of Directive 2009/138/EC of the European Parliament and of the Council of 25 November 2009 on the taking-up and pursuit of the business of Insurance and Reinsurance (hereinafter </w:t>
      </w:r>
      <w:r w:rsidR="00C457A6" w:rsidRPr="00D3207A">
        <w:t>‘</w:t>
      </w:r>
      <w:r w:rsidRPr="00D3207A">
        <w:t>the Solvency II Directive</w:t>
      </w:r>
      <w:r w:rsidR="00C457A6" w:rsidRPr="00D3207A">
        <w:t>’</w:t>
      </w:r>
      <w:r w:rsidRPr="00D3207A">
        <w:t xml:space="preserve">) </w:t>
      </w:r>
      <w:r w:rsidR="00F3741F" w:rsidRPr="00D3207A">
        <w:t xml:space="preserve">– </w:t>
      </w:r>
      <w:r w:rsidRPr="00D3207A">
        <w:t xml:space="preserve">implemented in Sections 37 to 44 and 29 of Act No 39/2015 on </w:t>
      </w:r>
      <w:r w:rsidR="00C457A6" w:rsidRPr="00D3207A">
        <w:t>i</w:t>
      </w:r>
      <w:r w:rsidRPr="00D3207A">
        <w:t xml:space="preserve">nsurance </w:t>
      </w:r>
      <w:r w:rsidR="00C457A6" w:rsidRPr="00D3207A">
        <w:t>(</w:t>
      </w:r>
      <w:r w:rsidRPr="00D3207A">
        <w:t xml:space="preserve">and </w:t>
      </w:r>
      <w:r w:rsidR="00C457A6" w:rsidRPr="00D3207A">
        <w:t>amending certain laws)</w:t>
      </w:r>
      <w:r w:rsidRPr="00D3207A">
        <w:t xml:space="preserve"> (hereinafter </w:t>
      </w:r>
      <w:r w:rsidR="00C457A6" w:rsidRPr="00D3207A">
        <w:t>‘</w:t>
      </w:r>
      <w:r w:rsidRPr="00D3207A">
        <w:t>the Insurance Act</w:t>
      </w:r>
      <w:r w:rsidR="00C457A6" w:rsidRPr="00D3207A">
        <w:t>’</w:t>
      </w:r>
      <w:r w:rsidRPr="00D3207A">
        <w:t xml:space="preserve">) </w:t>
      </w:r>
      <w:r w:rsidR="00F3741F" w:rsidRPr="00D3207A">
        <w:t xml:space="preserve">– </w:t>
      </w:r>
      <w:r w:rsidRPr="00D3207A">
        <w:t xml:space="preserve">and </w:t>
      </w:r>
      <w:r w:rsidR="00CC6CDB" w:rsidRPr="00D3207A">
        <w:t xml:space="preserve">with </w:t>
      </w:r>
      <w:r w:rsidRPr="00D3207A">
        <w:t>the requirements of Commission Delegated Regulation (EU) No</w:t>
      </w:r>
      <w:r w:rsidR="00CC6CDB" w:rsidRPr="00D3207A">
        <w:t> </w:t>
      </w:r>
      <w:r w:rsidRPr="00D3207A">
        <w:t xml:space="preserve">2015/35 supplementing Directive 2009/138/EC of the European Parliament and of the Council relating to the taking-up and pursuit of the business of Insurance and Reinsurance (Solvency II) (hereinafter </w:t>
      </w:r>
      <w:r w:rsidR="00C457A6" w:rsidRPr="00D3207A">
        <w:t>‘</w:t>
      </w:r>
      <w:r w:rsidRPr="00D3207A">
        <w:t>the Delegated Regulation</w:t>
      </w:r>
      <w:r w:rsidR="00C457A6" w:rsidRPr="00D3207A">
        <w:t>’</w:t>
      </w:r>
      <w:r w:rsidRPr="00D3207A">
        <w:t>)</w:t>
      </w:r>
      <w:r w:rsidR="00907445">
        <w:t xml:space="preserve"> specified in</w:t>
      </w:r>
      <w:r w:rsidRPr="00D3207A">
        <w:t xml:space="preserve"> Articles 17 to 42 on the rules </w:t>
      </w:r>
      <w:r w:rsidR="00F3741F" w:rsidRPr="00D3207A">
        <w:t>relating to</w:t>
      </w:r>
      <w:r w:rsidRPr="00D3207A">
        <w:t xml:space="preserve"> technical provisions</w:t>
      </w:r>
      <w:r w:rsidR="00907445">
        <w:t>,</w:t>
      </w:r>
      <w:r w:rsidR="00907445" w:rsidRPr="00907445">
        <w:t xml:space="preserve"> </w:t>
      </w:r>
      <w:r w:rsidR="00907445" w:rsidRPr="00D3207A">
        <w:t xml:space="preserve">EIOPA has issued Guidelines on the </w:t>
      </w:r>
      <w:r w:rsidR="00B22564" w:rsidRPr="00D3207A">
        <w:t xml:space="preserve">Valuation </w:t>
      </w:r>
      <w:r w:rsidR="00B22564">
        <w:t>o</w:t>
      </w:r>
      <w:r w:rsidR="00B22564" w:rsidRPr="00D3207A">
        <w:t>f Technical Provisions</w:t>
      </w:r>
      <w:r w:rsidRPr="00D3207A">
        <w:t xml:space="preserve">. </w:t>
      </w:r>
    </w:p>
    <w:p w14:paraId="5F325DFD" w14:textId="77777777" w:rsidR="003E706A" w:rsidRPr="00D3207A" w:rsidRDefault="003E706A" w:rsidP="005D263F">
      <w:pPr>
        <w:spacing w:after="0"/>
        <w:jc w:val="both"/>
      </w:pPr>
    </w:p>
    <w:p w14:paraId="3694B481" w14:textId="7B91B4D2" w:rsidR="003E706A" w:rsidRPr="00D3207A" w:rsidRDefault="00154429" w:rsidP="005D263F">
      <w:pPr>
        <w:spacing w:after="0"/>
        <w:jc w:val="both"/>
      </w:pPr>
      <w:r w:rsidRPr="00D3207A">
        <w:t xml:space="preserve">(2) The </w:t>
      </w:r>
      <w:r w:rsidR="00B22564">
        <w:t>g</w:t>
      </w:r>
      <w:r w:rsidRPr="00D3207A">
        <w:t xml:space="preserve">uidelines on valuation of technical provisions </w:t>
      </w:r>
      <w:r w:rsidR="00F3741F" w:rsidRPr="00D3207A">
        <w:t>have been</w:t>
      </w:r>
      <w:r w:rsidRPr="00D3207A">
        <w:t xml:space="preserve"> issued to increase consistency and convergence of professional practice for all types and sizes of undertakings across Member States and to support insurance and reinsurance undertakings in calculating their technical provisions under Solvency II.</w:t>
      </w:r>
    </w:p>
    <w:p w14:paraId="5A74DD3C" w14:textId="77777777" w:rsidR="003E706A" w:rsidRPr="00D3207A" w:rsidRDefault="003E706A" w:rsidP="005D263F">
      <w:pPr>
        <w:spacing w:after="0"/>
        <w:jc w:val="both"/>
      </w:pPr>
    </w:p>
    <w:p w14:paraId="385FE35F" w14:textId="45FF3A7C" w:rsidR="003E706A" w:rsidRPr="00D3207A" w:rsidRDefault="00154429" w:rsidP="005D263F">
      <w:pPr>
        <w:spacing w:after="0"/>
        <w:jc w:val="both"/>
      </w:pPr>
      <w:r w:rsidRPr="00D3207A">
        <w:t xml:space="preserve">(3) It is recognised that expert judgment is a key component of the calculation of technical provisions and it should be applied in setting assumptions to be used in the valuation of technical provisions for insurance and reinsurance undertakings. These guidelines on the valuation of technical provisions should be read together with the Chapter 4 of the Internal Models Guidelines on assumption setting and expert judgment, which are based on Article 2 of </w:t>
      </w:r>
      <w:r w:rsidR="00F3741F" w:rsidRPr="00D3207A">
        <w:t>the</w:t>
      </w:r>
      <w:r w:rsidRPr="00D3207A">
        <w:t xml:space="preserve"> Delegated Regulation.</w:t>
      </w:r>
    </w:p>
    <w:p w14:paraId="14E13ED4" w14:textId="77777777" w:rsidR="005072F2" w:rsidRPr="00D3207A" w:rsidRDefault="005072F2" w:rsidP="005D263F">
      <w:pPr>
        <w:spacing w:after="0"/>
        <w:jc w:val="both"/>
      </w:pPr>
    </w:p>
    <w:p w14:paraId="125F47B7" w14:textId="3DD41FD1" w:rsidR="003E706A" w:rsidRPr="00D3207A" w:rsidRDefault="0068356D" w:rsidP="005D263F">
      <w:pPr>
        <w:spacing w:after="0"/>
        <w:jc w:val="both"/>
      </w:pPr>
      <w:r w:rsidRPr="00D3207A">
        <w:t xml:space="preserve">(4) </w:t>
      </w:r>
      <w:bookmarkStart w:id="0" w:name="_Hlk112163022"/>
      <w:r w:rsidRPr="00D3207A">
        <w:t>This change introduces new guidelines</w:t>
      </w:r>
      <w:r w:rsidR="00F3741F" w:rsidRPr="00D3207A">
        <w:t>,</w:t>
      </w:r>
      <w:r w:rsidRPr="00D3207A">
        <w:t xml:space="preserve"> and supplements existing guid</w:t>
      </w:r>
      <w:r w:rsidR="00F3741F" w:rsidRPr="00D3207A">
        <w:t>elines,</w:t>
      </w:r>
      <w:r w:rsidRPr="00D3207A">
        <w:t xml:space="preserve"> on topics relevant to </w:t>
      </w:r>
      <w:r w:rsidR="00F3741F" w:rsidRPr="00D3207A">
        <w:t xml:space="preserve">the </w:t>
      </w:r>
      <w:r w:rsidRPr="00D3207A">
        <w:t xml:space="preserve">best estimate pricing, including the use of forward-looking management </w:t>
      </w:r>
      <w:r w:rsidR="007A3A4F" w:rsidRPr="00D3207A">
        <w:t>measures</w:t>
      </w:r>
      <w:r w:rsidRPr="00D3207A">
        <w:t xml:space="preserve"> and expertise, cost modelling and the pricing of options and guarantees using economic scenario generators and </w:t>
      </w:r>
      <w:r w:rsidR="00F3741F" w:rsidRPr="00D3207A">
        <w:t xml:space="preserve">policyholder behaviour </w:t>
      </w:r>
      <w:r w:rsidRPr="00D3207A">
        <w:t>modelling. EIOPA has also identified the need to clarify the calculation of expected profits on future premiums.</w:t>
      </w:r>
      <w:bookmarkEnd w:id="0"/>
    </w:p>
    <w:p w14:paraId="01E6A77D" w14:textId="77777777" w:rsidR="0068356D" w:rsidRPr="00D3207A" w:rsidRDefault="0068356D" w:rsidP="005D263F">
      <w:pPr>
        <w:spacing w:after="0"/>
        <w:jc w:val="both"/>
      </w:pPr>
    </w:p>
    <w:p w14:paraId="35E5F1B4" w14:textId="73D26897" w:rsidR="0024523F" w:rsidRPr="00D3207A" w:rsidRDefault="00154429" w:rsidP="00B02D9C">
      <w:pPr>
        <w:spacing w:after="0"/>
        <w:jc w:val="both"/>
      </w:pPr>
      <w:r w:rsidRPr="00D3207A">
        <w:lastRenderedPageBreak/>
        <w:t xml:space="preserve">(5) The </w:t>
      </w:r>
      <w:r w:rsidR="00B22564">
        <w:t>g</w:t>
      </w:r>
      <w:r w:rsidRPr="00D3207A">
        <w:t xml:space="preserve">uidelines apply to individual insurance and reinsurance undertakings and, as appropriate, </w:t>
      </w:r>
      <w:r w:rsidR="007A3A4F" w:rsidRPr="00D3207A">
        <w:t>also to</w:t>
      </w:r>
      <w:r w:rsidRPr="00D3207A">
        <w:t xml:space="preserve"> </w:t>
      </w:r>
      <w:r w:rsidR="007A3A4F" w:rsidRPr="00D3207A">
        <w:t xml:space="preserve">a </w:t>
      </w:r>
      <w:r w:rsidRPr="00D3207A">
        <w:t>group level.</w:t>
      </w:r>
    </w:p>
    <w:p w14:paraId="6506FC80" w14:textId="51764987" w:rsidR="003E706A" w:rsidRPr="00D3207A" w:rsidRDefault="003E706A" w:rsidP="005D263F">
      <w:pPr>
        <w:spacing w:after="0"/>
        <w:jc w:val="both"/>
      </w:pPr>
    </w:p>
    <w:p w14:paraId="2DBD6677" w14:textId="1C757DB8" w:rsidR="003E706A" w:rsidRPr="00D3207A" w:rsidRDefault="00A1274F" w:rsidP="005D263F">
      <w:pPr>
        <w:spacing w:after="0"/>
        <w:jc w:val="both"/>
      </w:pPr>
      <w:r w:rsidRPr="00D3207A">
        <w:t xml:space="preserve">(6) The </w:t>
      </w:r>
      <w:r w:rsidR="00B22564">
        <w:t>g</w:t>
      </w:r>
      <w:r w:rsidRPr="00D3207A">
        <w:t xml:space="preserve">uidelines should be read in conjunction with the Insurance Act and the Delegated Regulation. </w:t>
      </w:r>
    </w:p>
    <w:p w14:paraId="724552D8" w14:textId="77777777" w:rsidR="00201827" w:rsidRPr="00D3207A" w:rsidRDefault="00201827" w:rsidP="005D263F">
      <w:pPr>
        <w:spacing w:after="0"/>
        <w:jc w:val="both"/>
      </w:pPr>
    </w:p>
    <w:p w14:paraId="3B009F64" w14:textId="4C5046D5" w:rsidR="003E706A" w:rsidRPr="00D3207A" w:rsidRDefault="00154429" w:rsidP="005D263F">
      <w:pPr>
        <w:spacing w:after="0"/>
        <w:jc w:val="both"/>
      </w:pPr>
      <w:r w:rsidRPr="00D3207A">
        <w:t xml:space="preserve">(7) The </w:t>
      </w:r>
      <w:r w:rsidR="00B22564">
        <w:t>g</w:t>
      </w:r>
      <w:r w:rsidRPr="00D3207A">
        <w:t>uidelines will be ultimately applied both by actuaries and by other professionals who may be appointed to carry out the tasks of the actuarial function.</w:t>
      </w:r>
    </w:p>
    <w:p w14:paraId="34EF3408" w14:textId="77777777" w:rsidR="003E706A" w:rsidRPr="00D3207A" w:rsidRDefault="003E706A" w:rsidP="005D263F">
      <w:pPr>
        <w:spacing w:after="0"/>
        <w:jc w:val="both"/>
      </w:pPr>
    </w:p>
    <w:p w14:paraId="578CB53F" w14:textId="109FE767" w:rsidR="003E706A" w:rsidRPr="00D3207A" w:rsidRDefault="00154429" w:rsidP="005D263F">
      <w:pPr>
        <w:spacing w:after="0"/>
        <w:jc w:val="both"/>
      </w:pPr>
      <w:r w:rsidRPr="00D3207A">
        <w:t xml:space="preserve">(8) The relevant steps to ensure a reliable calculation of technical provisions should be done by the responsible persons for the calculation. The actuarial function should carry out the coordinating and validating task. Insurance and reinsurance undertakings should require the actuarial function – also when not explicitly mentioned </w:t>
      </w:r>
      <w:r w:rsidR="00BC55DB" w:rsidRPr="00D3207A">
        <w:t>–</w:t>
      </w:r>
      <w:r w:rsidRPr="00D3207A">
        <w:t xml:space="preserve"> to carry out its tasks where appropriate taking into account the requirements defined in the </w:t>
      </w:r>
      <w:r w:rsidR="00B22564">
        <w:t>g</w:t>
      </w:r>
      <w:r w:rsidRPr="00D3207A">
        <w:t xml:space="preserve">uidelines and in accordance with the </w:t>
      </w:r>
      <w:r w:rsidR="00B22564">
        <w:t>g</w:t>
      </w:r>
      <w:r w:rsidRPr="00D3207A">
        <w:t xml:space="preserve">uidelines on the system of governance and the requirements defined in </w:t>
      </w:r>
      <w:r w:rsidR="0028755A">
        <w:t>A</w:t>
      </w:r>
      <w:r w:rsidRPr="00D3207A">
        <w:t xml:space="preserve">rticle 272 of </w:t>
      </w:r>
      <w:r w:rsidR="00BC55DB" w:rsidRPr="00D3207A">
        <w:t>the</w:t>
      </w:r>
      <w:r w:rsidRPr="00D3207A">
        <w:t xml:space="preserve"> Delegated Regulation.</w:t>
      </w:r>
    </w:p>
    <w:p w14:paraId="785CB6C8" w14:textId="77777777" w:rsidR="003E706A" w:rsidRPr="00D3207A" w:rsidRDefault="003E706A" w:rsidP="005D263F">
      <w:pPr>
        <w:spacing w:after="0"/>
        <w:jc w:val="both"/>
      </w:pPr>
    </w:p>
    <w:p w14:paraId="167F8A86" w14:textId="15E9B799" w:rsidR="003E706A" w:rsidRPr="00D3207A" w:rsidRDefault="004E47A7" w:rsidP="005D263F">
      <w:pPr>
        <w:spacing w:after="0"/>
        <w:jc w:val="both"/>
      </w:pPr>
      <w:r w:rsidRPr="00D3207A">
        <w:t xml:space="preserve">(9) These </w:t>
      </w:r>
      <w:r w:rsidR="00B22564">
        <w:t>g</w:t>
      </w:r>
      <w:r w:rsidRPr="00D3207A">
        <w:t>uidelines are divided in different sections. Section 1 on Data Quality explores the ways data quality issues should be taken into account</w:t>
      </w:r>
      <w:r w:rsidR="006E03C3" w:rsidRPr="00D3207A">
        <w:t xml:space="preserve"> </w:t>
      </w:r>
      <w:r w:rsidRPr="00D3207A">
        <w:t>in</w:t>
      </w:r>
      <w:r w:rsidR="006E03C3" w:rsidRPr="00D3207A">
        <w:t xml:space="preserve"> </w:t>
      </w:r>
      <w:r w:rsidRPr="00D3207A">
        <w:t>the</w:t>
      </w:r>
      <w:r w:rsidR="006E03C3" w:rsidRPr="00D3207A">
        <w:t xml:space="preserve"> </w:t>
      </w:r>
      <w:r w:rsidRPr="00D3207A">
        <w:t>process of calculating technical provisions and ensuring that deficiencies have been appropriately dealt with.</w:t>
      </w:r>
    </w:p>
    <w:p w14:paraId="17F68558" w14:textId="77777777" w:rsidR="003E706A" w:rsidRPr="00D3207A" w:rsidRDefault="003E706A" w:rsidP="005D263F">
      <w:pPr>
        <w:spacing w:after="0"/>
        <w:jc w:val="both"/>
      </w:pPr>
    </w:p>
    <w:p w14:paraId="63FD3417" w14:textId="2CA36C19" w:rsidR="003E706A" w:rsidRPr="00D3207A" w:rsidRDefault="004E47A7" w:rsidP="005D263F">
      <w:pPr>
        <w:spacing w:after="0"/>
        <w:jc w:val="both"/>
      </w:pPr>
      <w:r w:rsidRPr="00D3207A">
        <w:t>(10) Section 2 on Segmentation and Unbundling explores the ways how to segment the insurance and reinsurance obligations. The purpose of segmentation is to achieve an accurate valuation of technical provisions.</w:t>
      </w:r>
    </w:p>
    <w:p w14:paraId="58529B70" w14:textId="77777777" w:rsidR="003E706A" w:rsidRPr="00D3207A" w:rsidRDefault="003E706A" w:rsidP="005D263F">
      <w:pPr>
        <w:spacing w:after="0"/>
        <w:jc w:val="both"/>
      </w:pPr>
    </w:p>
    <w:p w14:paraId="28F054FF" w14:textId="2AC2F65A" w:rsidR="003E706A" w:rsidRPr="00D3207A" w:rsidRDefault="004E47A7" w:rsidP="005D263F">
      <w:pPr>
        <w:spacing w:after="0"/>
        <w:jc w:val="both"/>
      </w:pPr>
      <w:r w:rsidRPr="00D3207A">
        <w:t>(11) Section 3 on Assumptions sets out requirements for the choice of methodologies to calculate technical provisions. This relates to the general proportionality assessment process which undertakings</w:t>
      </w:r>
      <w:r w:rsidR="006E03C3" w:rsidRPr="00D3207A">
        <w:t xml:space="preserve"> </w:t>
      </w:r>
      <w:r w:rsidRPr="00D3207A">
        <w:t>are</w:t>
      </w:r>
      <w:r w:rsidR="006E03C3" w:rsidRPr="00D3207A">
        <w:t xml:space="preserve"> </w:t>
      </w:r>
      <w:r w:rsidRPr="00D3207A">
        <w:t>expected to carry out when selecting a calculation method, as well as to specific methodological aspects of the calculation.</w:t>
      </w:r>
    </w:p>
    <w:p w14:paraId="01BA03F6" w14:textId="77777777" w:rsidR="003E706A" w:rsidRPr="00D3207A" w:rsidRDefault="003E706A" w:rsidP="005D263F">
      <w:pPr>
        <w:spacing w:after="0"/>
        <w:jc w:val="both"/>
      </w:pPr>
    </w:p>
    <w:p w14:paraId="153C5DD0" w14:textId="1501AB9B" w:rsidR="003E706A" w:rsidRPr="00D3207A" w:rsidRDefault="004E47A7" w:rsidP="005D263F">
      <w:pPr>
        <w:spacing w:after="0"/>
        <w:jc w:val="both"/>
      </w:pPr>
      <w:r w:rsidRPr="00D3207A">
        <w:t>(12) Section 4 on the Methodologies to calculate Technical Provisions, contains relevant guidelines when calculating technical provisions as a whole. It also provides a non-exhaustive list of potential approaches for simplifications, taking account of the fact that methodologies and techniques for the valuation of technical provisions are subject to continuous development. The proportionality assessment outlined in these guidelines is not only relevant for the selection of the</w:t>
      </w:r>
      <w:r w:rsidR="006E03C3" w:rsidRPr="00D3207A">
        <w:t xml:space="preserve"> </w:t>
      </w:r>
      <w:r w:rsidRPr="00D3207A">
        <w:t>methodologies</w:t>
      </w:r>
      <w:r w:rsidR="006E03C3" w:rsidRPr="00D3207A">
        <w:t xml:space="preserve"> </w:t>
      </w:r>
      <w:r w:rsidRPr="00D3207A">
        <w:t>for the calculation of technical provisions</w:t>
      </w:r>
      <w:r w:rsidR="00BC55DB" w:rsidRPr="00D3207A">
        <w:t>, but i</w:t>
      </w:r>
      <w:r w:rsidRPr="00D3207A">
        <w:t>ts resolutions should also be convenient to support other steps necessary for the calculation of technical provisions, such as data quality, segmentation, assumptions setting and validation.</w:t>
      </w:r>
    </w:p>
    <w:p w14:paraId="45C044E6" w14:textId="77777777" w:rsidR="003E706A" w:rsidRPr="00D3207A" w:rsidRDefault="003E706A" w:rsidP="005D263F">
      <w:pPr>
        <w:spacing w:after="0"/>
        <w:jc w:val="both"/>
      </w:pPr>
    </w:p>
    <w:p w14:paraId="340A6982" w14:textId="3C22C2A7" w:rsidR="003E706A" w:rsidRPr="00D3207A" w:rsidRDefault="004E47A7" w:rsidP="005D263F">
      <w:pPr>
        <w:spacing w:after="0"/>
        <w:jc w:val="both"/>
      </w:pPr>
      <w:r w:rsidRPr="00D3207A">
        <w:t>(13) Given that a closed list would not be in line with a principle-based approach to proportionality and might not provide proportionate calculation methods for all risk profiles, the simplified methods proposed in this paper are not to be interpreted as a closed list, but as possible methodologies to be applied.</w:t>
      </w:r>
    </w:p>
    <w:p w14:paraId="741F9DFD" w14:textId="77777777" w:rsidR="003E706A" w:rsidRPr="00D3207A" w:rsidRDefault="003E706A" w:rsidP="005D263F">
      <w:pPr>
        <w:spacing w:after="0"/>
        <w:jc w:val="both"/>
      </w:pPr>
    </w:p>
    <w:p w14:paraId="2D1BECE5" w14:textId="3553A2A6" w:rsidR="003E706A" w:rsidRPr="00D3207A" w:rsidRDefault="004E47A7" w:rsidP="005D263F">
      <w:pPr>
        <w:spacing w:after="0"/>
        <w:jc w:val="both"/>
      </w:pPr>
      <w:r w:rsidRPr="00D3207A">
        <w:t xml:space="preserve">(14) Section 5 on Validation focuses on the types and selection of validation approaches and processes, timing, extent and documentation and also the assessment of controls which should be carried out by the undertakings to validate the technical provisions. The purpose of these </w:t>
      </w:r>
      <w:r w:rsidRPr="00D3207A">
        <w:lastRenderedPageBreak/>
        <w:t>guidelines is to ensure a consistent approach to the process of validating the technical provisions across Member States. The technical annexes present some standard validation approaches and processes and suggest when it may be appropriate to use them.</w:t>
      </w:r>
    </w:p>
    <w:p w14:paraId="3143FA14" w14:textId="77777777" w:rsidR="003E706A" w:rsidRPr="00D3207A" w:rsidRDefault="003E706A" w:rsidP="005D263F">
      <w:pPr>
        <w:spacing w:after="0"/>
        <w:jc w:val="both"/>
      </w:pPr>
    </w:p>
    <w:p w14:paraId="136B213E" w14:textId="00C46047" w:rsidR="003E706A" w:rsidRPr="00D3207A" w:rsidRDefault="004E47A7" w:rsidP="005D263F">
      <w:pPr>
        <w:spacing w:after="0"/>
        <w:jc w:val="both"/>
      </w:pPr>
      <w:r w:rsidRPr="00D3207A">
        <w:t xml:space="preserve">(15) If not defined in these </w:t>
      </w:r>
      <w:r w:rsidR="00B22564">
        <w:t>g</w:t>
      </w:r>
      <w:r w:rsidRPr="00D3207A">
        <w:t>uidelines the terms have the meaning defined in the legal acts referred to in the introduction.</w:t>
      </w:r>
    </w:p>
    <w:p w14:paraId="0752D0A1" w14:textId="77777777" w:rsidR="008869D5" w:rsidRPr="00D3207A" w:rsidRDefault="008869D5" w:rsidP="005D263F">
      <w:pPr>
        <w:spacing w:after="0"/>
        <w:jc w:val="both"/>
      </w:pPr>
    </w:p>
    <w:p w14:paraId="2478EDFD" w14:textId="1EB7415F" w:rsidR="008869D5" w:rsidRPr="00D3207A" w:rsidRDefault="008869D5" w:rsidP="005D263F">
      <w:pPr>
        <w:spacing w:after="0"/>
        <w:jc w:val="both"/>
      </w:pPr>
      <w:r w:rsidRPr="00D3207A">
        <w:t>(16)</w:t>
      </w:r>
      <w:r w:rsidRPr="00D3207A">
        <w:tab/>
        <w:t>In accordance with Article 16(3) of</w:t>
      </w:r>
      <w:r w:rsidR="006E03C3" w:rsidRPr="00D3207A">
        <w:t xml:space="preserve"> </w:t>
      </w:r>
      <w:r w:rsidRPr="00D3207A">
        <w:t xml:space="preserve">the EIOPA Regulation, the insurance and reinsurance undertakings shall make every effort to comply with the </w:t>
      </w:r>
      <w:r w:rsidR="00BC55DB" w:rsidRPr="00D3207A">
        <w:t>g</w:t>
      </w:r>
      <w:r w:rsidRPr="00D3207A">
        <w:t>uidelines and recommendations.</w:t>
      </w:r>
    </w:p>
    <w:p w14:paraId="686213E6" w14:textId="15A24C2D" w:rsidR="000738AB" w:rsidRPr="00D3207A" w:rsidRDefault="000738AB" w:rsidP="005D263F">
      <w:pPr>
        <w:spacing w:after="0"/>
        <w:jc w:val="both"/>
      </w:pPr>
    </w:p>
    <w:p w14:paraId="0E512A39" w14:textId="77777777" w:rsidR="000738AB" w:rsidRPr="00D3207A" w:rsidRDefault="000738AB" w:rsidP="005D263F">
      <w:pPr>
        <w:spacing w:after="0"/>
        <w:jc w:val="both"/>
      </w:pPr>
    </w:p>
    <w:p w14:paraId="6E3A00B4" w14:textId="2D5ED392" w:rsidR="00CC41BD" w:rsidRPr="00D3207A" w:rsidRDefault="00CC41BD" w:rsidP="005D263F">
      <w:pPr>
        <w:pStyle w:val="NoSpacing"/>
        <w:jc w:val="center"/>
        <w:rPr>
          <w:b/>
          <w:bCs/>
          <w:sz w:val="22"/>
          <w:szCs w:val="22"/>
        </w:rPr>
      </w:pPr>
      <w:r w:rsidRPr="00D3207A">
        <w:rPr>
          <w:b/>
          <w:bCs/>
          <w:sz w:val="22"/>
          <w:szCs w:val="22"/>
        </w:rPr>
        <w:t>Article II</w:t>
      </w:r>
    </w:p>
    <w:p w14:paraId="4239FE77" w14:textId="77777777" w:rsidR="00CC41BD" w:rsidRPr="00D3207A" w:rsidRDefault="00CC41BD" w:rsidP="005D263F">
      <w:pPr>
        <w:pStyle w:val="NoSpacing"/>
        <w:jc w:val="center"/>
        <w:rPr>
          <w:b/>
          <w:bCs/>
          <w:sz w:val="22"/>
          <w:szCs w:val="22"/>
        </w:rPr>
      </w:pPr>
      <w:r w:rsidRPr="00D3207A">
        <w:rPr>
          <w:b/>
          <w:bCs/>
          <w:sz w:val="22"/>
          <w:szCs w:val="22"/>
        </w:rPr>
        <w:t>Guidelines</w:t>
      </w:r>
    </w:p>
    <w:p w14:paraId="24CDDE05" w14:textId="77777777" w:rsidR="003E706A" w:rsidRPr="00D3207A" w:rsidRDefault="003E706A" w:rsidP="005D263F">
      <w:pPr>
        <w:spacing w:after="0"/>
        <w:jc w:val="both"/>
      </w:pPr>
    </w:p>
    <w:p w14:paraId="08B6ED58" w14:textId="589ECDB9" w:rsidR="003E706A" w:rsidRPr="00D3207A" w:rsidRDefault="003E706A" w:rsidP="005D263F">
      <w:pPr>
        <w:spacing w:after="0"/>
        <w:jc w:val="both"/>
        <w:rPr>
          <w:b/>
          <w:bCs/>
        </w:rPr>
      </w:pPr>
      <w:r w:rsidRPr="00D3207A">
        <w:rPr>
          <w:b/>
          <w:bCs/>
        </w:rPr>
        <w:t>Guideline 0 – Proportionality</w:t>
      </w:r>
    </w:p>
    <w:p w14:paraId="4314AFDF" w14:textId="77777777" w:rsidR="006717A7" w:rsidRPr="00D3207A" w:rsidRDefault="006717A7" w:rsidP="005D263F">
      <w:pPr>
        <w:spacing w:after="0"/>
        <w:jc w:val="both"/>
        <w:rPr>
          <w:b/>
          <w:bCs/>
        </w:rPr>
      </w:pPr>
    </w:p>
    <w:p w14:paraId="67904785" w14:textId="61DB4CA7" w:rsidR="003E706A" w:rsidRPr="00D3207A" w:rsidRDefault="003E706A" w:rsidP="005D263F">
      <w:pPr>
        <w:pStyle w:val="ListParagraph"/>
        <w:spacing w:after="0"/>
        <w:ind w:left="792"/>
        <w:jc w:val="both"/>
      </w:pPr>
      <w:r w:rsidRPr="00D3207A">
        <w:t xml:space="preserve">Insurance and reinsurance undertakings should apply the Guidelines on </w:t>
      </w:r>
      <w:r w:rsidR="00B22564">
        <w:t>V</w:t>
      </w:r>
      <w:r w:rsidRPr="00D3207A">
        <w:t xml:space="preserve">aluation of </w:t>
      </w:r>
      <w:r w:rsidR="00B22564" w:rsidRPr="00D3207A">
        <w:t xml:space="preserve">Technical Provisions </w:t>
      </w:r>
      <w:r w:rsidRPr="00D3207A">
        <w:t>in a manner that is proportionate to the nature, scale and complexity of the risks inherent in their business. This should not result in a material deviation of the value of the technical from the current amount that insurance and reinsurance undertakings would have to pay if they were to transfer their insurance and reinsurance obligations immediately to another insurance or reinsurance undertaking.</w:t>
      </w:r>
    </w:p>
    <w:p w14:paraId="6BC9BDA9" w14:textId="77777777" w:rsidR="00CC41BD" w:rsidRPr="00D3207A" w:rsidRDefault="00CC41BD" w:rsidP="005D263F">
      <w:pPr>
        <w:spacing w:after="0"/>
        <w:jc w:val="both"/>
        <w:rPr>
          <w:b/>
          <w:bCs/>
        </w:rPr>
      </w:pPr>
    </w:p>
    <w:p w14:paraId="70B4D142" w14:textId="677B4630" w:rsidR="00CC41BD" w:rsidRPr="00D3207A" w:rsidRDefault="00CC41BD" w:rsidP="005D263F">
      <w:pPr>
        <w:spacing w:after="0"/>
        <w:jc w:val="both"/>
        <w:rPr>
          <w:b/>
          <w:bCs/>
        </w:rPr>
      </w:pPr>
      <w:r w:rsidRPr="00D3207A">
        <w:rPr>
          <w:b/>
          <w:bCs/>
        </w:rPr>
        <w:t>Section 1: Data quality</w:t>
      </w:r>
    </w:p>
    <w:p w14:paraId="7F4081F7" w14:textId="77777777" w:rsidR="0025764B" w:rsidRPr="00D3207A" w:rsidRDefault="0025764B" w:rsidP="005D263F">
      <w:pPr>
        <w:spacing w:after="0"/>
        <w:jc w:val="both"/>
        <w:rPr>
          <w:b/>
          <w:bCs/>
        </w:rPr>
      </w:pPr>
    </w:p>
    <w:p w14:paraId="63CCC6B0" w14:textId="12B4D28F" w:rsidR="00CC41BD" w:rsidRPr="00D3207A" w:rsidRDefault="00A55301" w:rsidP="005D263F">
      <w:pPr>
        <w:spacing w:after="0"/>
        <w:jc w:val="both"/>
        <w:rPr>
          <w:b/>
          <w:bCs/>
        </w:rPr>
      </w:pPr>
      <w:r w:rsidRPr="00D3207A">
        <w:rPr>
          <w:b/>
          <w:bCs/>
        </w:rPr>
        <w:t>Clarification</w:t>
      </w:r>
      <w:r w:rsidR="00CC41BD" w:rsidRPr="00D3207A">
        <w:rPr>
          <w:b/>
          <w:bCs/>
        </w:rPr>
        <w:t xml:space="preserve"> of the concepts of completeness and appropriateness of data</w:t>
      </w:r>
    </w:p>
    <w:p w14:paraId="201CC80D" w14:textId="77777777" w:rsidR="003D243F" w:rsidRDefault="003D243F" w:rsidP="005D263F">
      <w:pPr>
        <w:spacing w:after="0"/>
        <w:jc w:val="both"/>
        <w:rPr>
          <w:b/>
          <w:bCs/>
        </w:rPr>
      </w:pPr>
    </w:p>
    <w:p w14:paraId="138ADCB8" w14:textId="404E8A4F" w:rsidR="003E706A" w:rsidRPr="00D3207A" w:rsidRDefault="003E706A" w:rsidP="005D263F">
      <w:pPr>
        <w:spacing w:after="0"/>
        <w:jc w:val="both"/>
        <w:rPr>
          <w:b/>
          <w:bCs/>
        </w:rPr>
      </w:pPr>
      <w:r w:rsidRPr="00D3207A">
        <w:rPr>
          <w:b/>
          <w:bCs/>
        </w:rPr>
        <w:t xml:space="preserve">Guideline 1 – </w:t>
      </w:r>
      <w:r w:rsidR="00A55301" w:rsidRPr="00D3207A">
        <w:rPr>
          <w:b/>
          <w:bCs/>
        </w:rPr>
        <w:t>Completeness</w:t>
      </w:r>
      <w:r w:rsidRPr="00D3207A">
        <w:rPr>
          <w:b/>
          <w:bCs/>
        </w:rPr>
        <w:t xml:space="preserve"> of data</w:t>
      </w:r>
    </w:p>
    <w:p w14:paraId="3507E210" w14:textId="77777777" w:rsidR="006717A7" w:rsidRPr="00D3207A" w:rsidRDefault="006717A7" w:rsidP="005D263F">
      <w:pPr>
        <w:spacing w:after="0"/>
        <w:jc w:val="both"/>
        <w:rPr>
          <w:b/>
          <w:bCs/>
        </w:rPr>
      </w:pPr>
    </w:p>
    <w:p w14:paraId="34D02D07" w14:textId="79AD1F26" w:rsidR="003E706A" w:rsidRPr="00D3207A" w:rsidRDefault="003E706A" w:rsidP="005D263F">
      <w:pPr>
        <w:pStyle w:val="ListParagraph"/>
        <w:numPr>
          <w:ilvl w:val="0"/>
          <w:numId w:val="8"/>
        </w:numPr>
        <w:spacing w:after="0"/>
        <w:jc w:val="both"/>
      </w:pPr>
      <w:r w:rsidRPr="00D3207A">
        <w:t>Insurance and reinsurance undertakings should ensure that data used in the calculation of technical provisions cover a sufficiently large period of observations that characterise the reality being measured.</w:t>
      </w:r>
    </w:p>
    <w:p w14:paraId="0190EDD1" w14:textId="77777777" w:rsidR="00A87F22" w:rsidRPr="00D3207A" w:rsidRDefault="00A87F22" w:rsidP="005D263F">
      <w:pPr>
        <w:pStyle w:val="ListParagraph"/>
        <w:spacing w:after="0"/>
        <w:jc w:val="both"/>
      </w:pPr>
    </w:p>
    <w:p w14:paraId="4EFDFB76" w14:textId="142A8367" w:rsidR="003E706A" w:rsidRPr="00D3207A" w:rsidRDefault="003E706A" w:rsidP="005D263F">
      <w:pPr>
        <w:pStyle w:val="ListParagraph"/>
        <w:numPr>
          <w:ilvl w:val="0"/>
          <w:numId w:val="8"/>
        </w:numPr>
        <w:spacing w:after="0"/>
        <w:jc w:val="both"/>
      </w:pPr>
      <w:r w:rsidRPr="00D3207A">
        <w:t>To perform the calculation of premium provisions for non-life obligations, undertakings should ensure that sufficient historical information is available on the total cost of claims and their current trends at a sufficiently granular level.</w:t>
      </w:r>
    </w:p>
    <w:p w14:paraId="57B9F691" w14:textId="77777777" w:rsidR="00A87F22" w:rsidRPr="00D3207A" w:rsidRDefault="00A87F22" w:rsidP="005D263F">
      <w:pPr>
        <w:pStyle w:val="ListParagraph"/>
        <w:spacing w:after="0"/>
      </w:pPr>
    </w:p>
    <w:p w14:paraId="0D6E0219" w14:textId="4925C513" w:rsidR="003E706A" w:rsidRPr="00D3207A" w:rsidRDefault="003E706A" w:rsidP="005D263F">
      <w:pPr>
        <w:pStyle w:val="ListParagraph"/>
        <w:numPr>
          <w:ilvl w:val="0"/>
          <w:numId w:val="8"/>
        </w:numPr>
        <w:spacing w:after="0"/>
        <w:jc w:val="both"/>
      </w:pPr>
      <w:r w:rsidRPr="00D3207A">
        <w:t>To perform the calculation of provisions for claims outstanding, undertakings should ensure that sufficient data are available to allow for the identification of relevant patterns on the claims development, and with sufficient granularity, in order to permit analysis of such patterns within homogeneous risk groups.</w:t>
      </w:r>
    </w:p>
    <w:p w14:paraId="26354209" w14:textId="77777777" w:rsidR="0064059A" w:rsidRPr="00D3207A" w:rsidRDefault="0064059A" w:rsidP="005D263F">
      <w:pPr>
        <w:spacing w:after="0"/>
        <w:jc w:val="both"/>
        <w:rPr>
          <w:b/>
          <w:bCs/>
        </w:rPr>
      </w:pPr>
    </w:p>
    <w:p w14:paraId="50533C24" w14:textId="2A053E56" w:rsidR="003E706A" w:rsidRPr="00D3207A" w:rsidRDefault="003E706A" w:rsidP="005D263F">
      <w:pPr>
        <w:spacing w:after="0"/>
        <w:jc w:val="both"/>
        <w:rPr>
          <w:b/>
          <w:bCs/>
        </w:rPr>
      </w:pPr>
      <w:r w:rsidRPr="00D3207A">
        <w:rPr>
          <w:b/>
          <w:bCs/>
        </w:rPr>
        <w:t>Guideline 2 – Appropriateness of data</w:t>
      </w:r>
    </w:p>
    <w:p w14:paraId="1D1D9FF6" w14:textId="77777777" w:rsidR="006717A7" w:rsidRPr="00D3207A" w:rsidRDefault="006717A7" w:rsidP="005D263F">
      <w:pPr>
        <w:spacing w:after="0"/>
        <w:jc w:val="both"/>
        <w:rPr>
          <w:b/>
          <w:bCs/>
        </w:rPr>
      </w:pPr>
    </w:p>
    <w:p w14:paraId="71EF2568" w14:textId="2D862AD6" w:rsidR="003E706A" w:rsidRPr="00D3207A" w:rsidRDefault="003E706A" w:rsidP="005D263F">
      <w:pPr>
        <w:pStyle w:val="ListParagraph"/>
        <w:numPr>
          <w:ilvl w:val="0"/>
          <w:numId w:val="7"/>
        </w:numPr>
        <w:spacing w:after="0"/>
        <w:jc w:val="both"/>
      </w:pPr>
      <w:r w:rsidRPr="00D3207A">
        <w:t>Insurance and reinsurance undertakings should ensure that data relating to different time periods is used consistently.</w:t>
      </w:r>
    </w:p>
    <w:p w14:paraId="0F2628CA" w14:textId="77777777" w:rsidR="00A87F22" w:rsidRPr="00D3207A" w:rsidRDefault="00A87F22" w:rsidP="005D263F">
      <w:pPr>
        <w:pStyle w:val="ListParagraph"/>
        <w:spacing w:after="0"/>
        <w:jc w:val="both"/>
      </w:pPr>
    </w:p>
    <w:p w14:paraId="3505E009" w14:textId="24CA389B" w:rsidR="003E706A" w:rsidRPr="00D3207A" w:rsidRDefault="003E706A" w:rsidP="005D263F">
      <w:pPr>
        <w:pStyle w:val="ListParagraph"/>
        <w:numPr>
          <w:ilvl w:val="0"/>
          <w:numId w:val="7"/>
        </w:numPr>
        <w:spacing w:after="0"/>
        <w:jc w:val="both"/>
      </w:pPr>
      <w:r w:rsidRPr="00D3207A">
        <w:lastRenderedPageBreak/>
        <w:t>Undertakings should apply adjustments to historical data, if necessary, to increase its credibility or enhance its quality as an input to</w:t>
      </w:r>
      <w:r w:rsidR="006E03C3" w:rsidRPr="00D3207A">
        <w:t xml:space="preserve"> </w:t>
      </w:r>
      <w:r w:rsidRPr="00D3207A">
        <w:t>determine</w:t>
      </w:r>
      <w:r w:rsidR="006E03C3" w:rsidRPr="00D3207A">
        <w:t xml:space="preserve"> </w:t>
      </w:r>
      <w:r w:rsidRPr="00D3207A">
        <w:t>more reliable estimates of technical provisions and to better align it with the characteristics of the portfolio being valued and with future expected development of risks.</w:t>
      </w:r>
    </w:p>
    <w:p w14:paraId="080BD3C9" w14:textId="77777777" w:rsidR="00E964B7" w:rsidRPr="00D3207A" w:rsidRDefault="00E964B7" w:rsidP="005D263F">
      <w:pPr>
        <w:spacing w:after="0"/>
        <w:jc w:val="both"/>
        <w:rPr>
          <w:b/>
          <w:bCs/>
        </w:rPr>
      </w:pPr>
    </w:p>
    <w:p w14:paraId="3D707882" w14:textId="7DF701C5" w:rsidR="003E706A" w:rsidRPr="00D3207A" w:rsidRDefault="003E706A" w:rsidP="005D263F">
      <w:pPr>
        <w:spacing w:after="0"/>
        <w:jc w:val="both"/>
        <w:rPr>
          <w:b/>
          <w:bCs/>
        </w:rPr>
      </w:pPr>
      <w:r w:rsidRPr="00D3207A">
        <w:rPr>
          <w:b/>
          <w:bCs/>
        </w:rPr>
        <w:t>Review and validation of data quality</w:t>
      </w:r>
    </w:p>
    <w:p w14:paraId="4C59D488" w14:textId="77777777" w:rsidR="003D243F" w:rsidRDefault="003D243F" w:rsidP="005D263F">
      <w:pPr>
        <w:spacing w:after="0"/>
        <w:ind w:left="426" w:hanging="426"/>
        <w:jc w:val="both"/>
        <w:rPr>
          <w:b/>
          <w:bCs/>
        </w:rPr>
      </w:pPr>
    </w:p>
    <w:p w14:paraId="1ECBF8C2" w14:textId="0B335BEA" w:rsidR="003E706A" w:rsidRPr="00D3207A" w:rsidRDefault="003E706A" w:rsidP="005D263F">
      <w:pPr>
        <w:spacing w:after="0"/>
        <w:ind w:left="426" w:hanging="426"/>
        <w:jc w:val="both"/>
        <w:rPr>
          <w:b/>
          <w:bCs/>
        </w:rPr>
      </w:pPr>
      <w:r w:rsidRPr="00D3207A">
        <w:rPr>
          <w:b/>
          <w:bCs/>
        </w:rPr>
        <w:t>Guideline 3 – Data checks</w:t>
      </w:r>
    </w:p>
    <w:p w14:paraId="3F6EB5AA" w14:textId="77777777" w:rsidR="004F48D8" w:rsidRPr="00D3207A" w:rsidRDefault="004F48D8" w:rsidP="005D263F">
      <w:pPr>
        <w:spacing w:after="0"/>
        <w:ind w:left="426" w:hanging="426"/>
        <w:jc w:val="both"/>
        <w:rPr>
          <w:b/>
          <w:bCs/>
        </w:rPr>
      </w:pPr>
    </w:p>
    <w:p w14:paraId="331DAF39" w14:textId="071FBC65" w:rsidR="003E706A" w:rsidRPr="00D3207A" w:rsidRDefault="003E706A" w:rsidP="005D263F">
      <w:pPr>
        <w:pStyle w:val="ListParagraph"/>
        <w:numPr>
          <w:ilvl w:val="0"/>
          <w:numId w:val="6"/>
        </w:numPr>
        <w:spacing w:after="0"/>
        <w:jc w:val="both"/>
      </w:pPr>
      <w:r w:rsidRPr="00D3207A">
        <w:t xml:space="preserve">Insurance and reinsurance undertakings should ensure that the actuarial function assesses the accuracy and completeness of data through a sufficiently comprehensive series of checks to meet the criteria set out in the previous </w:t>
      </w:r>
      <w:r w:rsidR="00B22564">
        <w:t>g</w:t>
      </w:r>
      <w:r w:rsidRPr="00D3207A">
        <w:t>uidelines and to allow the detection of any relevant shortcomings.</w:t>
      </w:r>
    </w:p>
    <w:p w14:paraId="4405DEDC" w14:textId="77777777" w:rsidR="00A87F22" w:rsidRPr="00D3207A" w:rsidRDefault="00A87F22" w:rsidP="005D263F">
      <w:pPr>
        <w:pStyle w:val="ListParagraph"/>
        <w:spacing w:after="0"/>
        <w:ind w:left="792"/>
        <w:jc w:val="both"/>
      </w:pPr>
    </w:p>
    <w:p w14:paraId="6078B423" w14:textId="79C81830" w:rsidR="004E47A7" w:rsidRPr="00D3207A" w:rsidRDefault="003E706A" w:rsidP="005D263F">
      <w:pPr>
        <w:pStyle w:val="ListParagraph"/>
        <w:numPr>
          <w:ilvl w:val="0"/>
          <w:numId w:val="6"/>
        </w:numPr>
        <w:spacing w:after="0"/>
        <w:jc w:val="both"/>
      </w:pPr>
      <w:r w:rsidRPr="00D3207A">
        <w:t>Insurance and reinsurance undertakings should ensure that the actuarial function carries out this assessment at an appropriately granular level.</w:t>
      </w:r>
    </w:p>
    <w:p w14:paraId="4CD64CBE" w14:textId="77777777" w:rsidR="004E47A7" w:rsidRPr="00D3207A" w:rsidRDefault="004E47A7" w:rsidP="005D263F">
      <w:pPr>
        <w:spacing w:after="0"/>
        <w:jc w:val="both"/>
      </w:pPr>
    </w:p>
    <w:p w14:paraId="53CD7416" w14:textId="1B8C91D4" w:rsidR="004E47A7" w:rsidRPr="00D3207A" w:rsidRDefault="003E706A" w:rsidP="005D263F">
      <w:pPr>
        <w:spacing w:after="0"/>
        <w:jc w:val="both"/>
        <w:rPr>
          <w:b/>
          <w:bCs/>
        </w:rPr>
      </w:pPr>
      <w:r w:rsidRPr="00D3207A">
        <w:rPr>
          <w:b/>
          <w:bCs/>
        </w:rPr>
        <w:t>Guideline 4 – Consideration of other analysis conducted</w:t>
      </w:r>
    </w:p>
    <w:p w14:paraId="7AC328DC" w14:textId="77777777" w:rsidR="006717A7" w:rsidRPr="00D3207A" w:rsidRDefault="006717A7" w:rsidP="005D263F">
      <w:pPr>
        <w:spacing w:after="0"/>
        <w:jc w:val="both"/>
        <w:rPr>
          <w:b/>
          <w:bCs/>
        </w:rPr>
      </w:pPr>
    </w:p>
    <w:p w14:paraId="0612F346" w14:textId="4546E671" w:rsidR="003E706A" w:rsidRPr="00D3207A" w:rsidRDefault="003E706A" w:rsidP="005D263F">
      <w:pPr>
        <w:spacing w:after="0"/>
        <w:ind w:left="708"/>
        <w:jc w:val="both"/>
      </w:pPr>
      <w:r w:rsidRPr="00D3207A">
        <w:t>Insurance and reinsurance undertakings should ensure that the actuarial function takes into account the conclusions of any relevant analysis performed in an external review, where data quality in the context of calculating technical provisions is reviewed.</w:t>
      </w:r>
    </w:p>
    <w:p w14:paraId="23B19023" w14:textId="77777777" w:rsidR="004F48D8" w:rsidRPr="00D3207A" w:rsidRDefault="004F48D8" w:rsidP="005D263F">
      <w:pPr>
        <w:spacing w:after="0"/>
        <w:ind w:left="426"/>
        <w:jc w:val="both"/>
      </w:pPr>
    </w:p>
    <w:p w14:paraId="71BC1FB2" w14:textId="496CC6C3" w:rsidR="003E706A" w:rsidRPr="00D3207A" w:rsidRDefault="003E706A" w:rsidP="005D263F">
      <w:pPr>
        <w:spacing w:after="0"/>
        <w:jc w:val="both"/>
        <w:rPr>
          <w:b/>
          <w:bCs/>
        </w:rPr>
      </w:pPr>
      <w:r w:rsidRPr="00D3207A">
        <w:rPr>
          <w:b/>
          <w:bCs/>
        </w:rPr>
        <w:t xml:space="preserve">Guideline 5 </w:t>
      </w:r>
      <w:r w:rsidR="00A55301" w:rsidRPr="00D3207A">
        <w:rPr>
          <w:b/>
          <w:bCs/>
        </w:rPr>
        <w:t>–</w:t>
      </w:r>
      <w:r w:rsidRPr="00D3207A">
        <w:rPr>
          <w:b/>
          <w:bCs/>
        </w:rPr>
        <w:t xml:space="preserve"> Consideration of the methodologies to be applied</w:t>
      </w:r>
    </w:p>
    <w:p w14:paraId="4BC68FEF" w14:textId="77777777" w:rsidR="006717A7" w:rsidRPr="00D3207A" w:rsidRDefault="006717A7" w:rsidP="005D263F">
      <w:pPr>
        <w:spacing w:after="0"/>
        <w:jc w:val="both"/>
        <w:rPr>
          <w:b/>
          <w:bCs/>
        </w:rPr>
      </w:pPr>
    </w:p>
    <w:p w14:paraId="245282E9" w14:textId="717634CF" w:rsidR="003E706A" w:rsidRPr="00D3207A" w:rsidRDefault="003E706A" w:rsidP="005D263F">
      <w:pPr>
        <w:pStyle w:val="ListParagraph"/>
        <w:numPr>
          <w:ilvl w:val="0"/>
          <w:numId w:val="4"/>
        </w:numPr>
        <w:spacing w:after="0"/>
        <w:jc w:val="both"/>
      </w:pPr>
      <w:r w:rsidRPr="00D3207A">
        <w:t>Insurance and reinsurance undertakings should ensure that the actuarial function take</w:t>
      </w:r>
      <w:r w:rsidR="00F12BBC" w:rsidRPr="00D3207A">
        <w:t>s</w:t>
      </w:r>
      <w:r w:rsidRPr="00D3207A">
        <w:t xml:space="preserve"> into account the conclusions and relationships of the data quality analysis and select</w:t>
      </w:r>
      <w:r w:rsidR="00F12BBC" w:rsidRPr="00D3207A">
        <w:t>s</w:t>
      </w:r>
      <w:r w:rsidRPr="00D3207A">
        <w:t xml:space="preserve"> the method</w:t>
      </w:r>
      <w:r w:rsidR="00A55301" w:rsidRPr="00D3207A">
        <w:t>ologies</w:t>
      </w:r>
      <w:r w:rsidRPr="00D3207A">
        <w:t xml:space="preserve"> to be </w:t>
      </w:r>
      <w:r w:rsidR="00A55301" w:rsidRPr="00D3207A">
        <w:t>applied to value</w:t>
      </w:r>
      <w:r w:rsidRPr="00D3207A">
        <w:t xml:space="preserve"> </w:t>
      </w:r>
      <w:r w:rsidR="00A55301" w:rsidRPr="00D3207A">
        <w:t xml:space="preserve">the </w:t>
      </w:r>
      <w:r w:rsidRPr="00D3207A">
        <w:t>technical provisions.</w:t>
      </w:r>
    </w:p>
    <w:p w14:paraId="27C0A0BA" w14:textId="77777777" w:rsidR="00A87F22" w:rsidRPr="00D3207A" w:rsidRDefault="00A87F22" w:rsidP="005D263F">
      <w:pPr>
        <w:pStyle w:val="ListParagraph"/>
        <w:spacing w:after="0"/>
        <w:jc w:val="both"/>
      </w:pPr>
    </w:p>
    <w:p w14:paraId="631832C9" w14:textId="58EF0C94" w:rsidR="003E706A" w:rsidRPr="00D3207A" w:rsidRDefault="003E706A" w:rsidP="005D263F">
      <w:pPr>
        <w:pStyle w:val="ListParagraph"/>
        <w:numPr>
          <w:ilvl w:val="0"/>
          <w:numId w:val="4"/>
        </w:numPr>
        <w:spacing w:after="0"/>
        <w:jc w:val="both"/>
      </w:pPr>
      <w:r w:rsidRPr="00D3207A">
        <w:t>Insurance and reinsurance undertakings should ensure that the actuarial function analyse</w:t>
      </w:r>
      <w:r w:rsidR="00F12BBC" w:rsidRPr="00D3207A">
        <w:t>s</w:t>
      </w:r>
      <w:r w:rsidRPr="00D3207A">
        <w:t xml:space="preserve"> the extent to which the data used </w:t>
      </w:r>
      <w:r w:rsidR="005F7D19" w:rsidRPr="00D3207A">
        <w:t>is</w:t>
      </w:r>
      <w:r w:rsidRPr="00D3207A">
        <w:t xml:space="preserve"> adequate in relation to the assumptions </w:t>
      </w:r>
      <w:r w:rsidR="00F12BBC" w:rsidRPr="00D3207A">
        <w:t xml:space="preserve">underlying the methodologies to be applied to value the technical </w:t>
      </w:r>
      <w:r w:rsidRPr="00D3207A">
        <w:t xml:space="preserve">provisions. If the data </w:t>
      </w:r>
      <w:r w:rsidR="00F12BBC" w:rsidRPr="00D3207A">
        <w:t>does</w:t>
      </w:r>
      <w:r w:rsidRPr="00D3207A">
        <w:t xml:space="preserve"> not a</w:t>
      </w:r>
      <w:r w:rsidR="00F12BBC" w:rsidRPr="00D3207A">
        <w:t>dequately support</w:t>
      </w:r>
      <w:r w:rsidRPr="00D3207A">
        <w:t xml:space="preserve"> the selected method</w:t>
      </w:r>
      <w:r w:rsidR="00F12BBC" w:rsidRPr="00D3207A">
        <w:t>ology</w:t>
      </w:r>
      <w:r w:rsidRPr="00D3207A">
        <w:t>, the insurance undertaking should select an</w:t>
      </w:r>
      <w:r w:rsidR="00F12BBC" w:rsidRPr="00D3207A">
        <w:t xml:space="preserve"> alternative</w:t>
      </w:r>
      <w:r w:rsidRPr="00D3207A">
        <w:t xml:space="preserve"> method</w:t>
      </w:r>
      <w:r w:rsidR="00F12BBC" w:rsidRPr="00D3207A">
        <w:t>ology</w:t>
      </w:r>
      <w:r w:rsidRPr="00D3207A">
        <w:t>.</w:t>
      </w:r>
    </w:p>
    <w:p w14:paraId="43B7AA8D" w14:textId="77777777" w:rsidR="00A87F22" w:rsidRPr="00D3207A" w:rsidRDefault="00A87F22" w:rsidP="005D263F">
      <w:pPr>
        <w:pStyle w:val="ListParagraph"/>
        <w:spacing w:after="0"/>
      </w:pPr>
    </w:p>
    <w:p w14:paraId="2A2CD063" w14:textId="60BD4AE5" w:rsidR="003E706A" w:rsidRPr="00D3207A" w:rsidRDefault="003E706A" w:rsidP="005D263F">
      <w:pPr>
        <w:pStyle w:val="ListParagraph"/>
        <w:numPr>
          <w:ilvl w:val="0"/>
          <w:numId w:val="4"/>
        </w:numPr>
        <w:spacing w:after="0"/>
        <w:jc w:val="both"/>
      </w:pPr>
      <w:bookmarkStart w:id="1" w:name="_Hlk112417899"/>
      <w:r w:rsidRPr="00D3207A">
        <w:t>In the assessment of completeness of</w:t>
      </w:r>
      <w:r w:rsidR="006E03C3" w:rsidRPr="00D3207A">
        <w:t xml:space="preserve"> </w:t>
      </w:r>
      <w:r w:rsidRPr="00D3207A">
        <w:t>data,</w:t>
      </w:r>
      <w:r w:rsidR="006E03C3" w:rsidRPr="00D3207A">
        <w:t xml:space="preserve"> </w:t>
      </w:r>
      <w:r w:rsidRPr="00D3207A">
        <w:t>undertakings</w:t>
      </w:r>
      <w:r w:rsidR="006E03C3" w:rsidRPr="00D3207A">
        <w:t xml:space="preserve"> </w:t>
      </w:r>
      <w:r w:rsidRPr="00D3207A">
        <w:t>should</w:t>
      </w:r>
      <w:r w:rsidR="006E03C3" w:rsidRPr="00D3207A">
        <w:t xml:space="preserve"> </w:t>
      </w:r>
      <w:r w:rsidRPr="00D3207A">
        <w:t>ensure</w:t>
      </w:r>
      <w:r w:rsidR="006E03C3" w:rsidRPr="00D3207A">
        <w:t xml:space="preserve"> </w:t>
      </w:r>
      <w:r w:rsidRPr="00D3207A">
        <w:t>that the actuarial function consider</w:t>
      </w:r>
      <w:r w:rsidR="00F12BBC" w:rsidRPr="00D3207A">
        <w:t>s</w:t>
      </w:r>
      <w:r w:rsidRPr="00D3207A">
        <w:t xml:space="preserve"> whether the number of observations and granularity of available data is sufficient and adequate to meet the</w:t>
      </w:r>
      <w:bookmarkEnd w:id="1"/>
      <w:r w:rsidRPr="00D3207A">
        <w:t xml:space="preserve"> input requirement for the application of the methodology.</w:t>
      </w:r>
    </w:p>
    <w:p w14:paraId="0B33A12B" w14:textId="77777777" w:rsidR="004F48D8" w:rsidRPr="00D3207A" w:rsidRDefault="004F48D8" w:rsidP="005D263F">
      <w:pPr>
        <w:spacing w:after="0"/>
        <w:jc w:val="both"/>
        <w:rPr>
          <w:b/>
          <w:bCs/>
        </w:rPr>
      </w:pPr>
    </w:p>
    <w:p w14:paraId="1443341E" w14:textId="26F71E2B" w:rsidR="003E706A" w:rsidRPr="00D3207A" w:rsidRDefault="003E706A" w:rsidP="005D263F">
      <w:pPr>
        <w:spacing w:after="0"/>
        <w:jc w:val="both"/>
        <w:rPr>
          <w:b/>
          <w:bCs/>
        </w:rPr>
      </w:pPr>
      <w:r w:rsidRPr="00D3207A">
        <w:rPr>
          <w:b/>
          <w:bCs/>
        </w:rPr>
        <w:t xml:space="preserve">Guideline 6 </w:t>
      </w:r>
      <w:r w:rsidR="00F12BBC" w:rsidRPr="00D3207A">
        <w:rPr>
          <w:b/>
          <w:bCs/>
        </w:rPr>
        <w:t>–</w:t>
      </w:r>
      <w:r w:rsidRPr="00D3207A">
        <w:rPr>
          <w:b/>
          <w:bCs/>
        </w:rPr>
        <w:t xml:space="preserve"> Source and use of data</w:t>
      </w:r>
    </w:p>
    <w:p w14:paraId="09909DB5" w14:textId="77777777" w:rsidR="006717A7" w:rsidRPr="00D3207A" w:rsidRDefault="006717A7" w:rsidP="005D263F">
      <w:pPr>
        <w:spacing w:after="0"/>
        <w:jc w:val="both"/>
        <w:rPr>
          <w:b/>
          <w:bCs/>
        </w:rPr>
      </w:pPr>
    </w:p>
    <w:p w14:paraId="528634AC" w14:textId="71432AB6" w:rsidR="003E706A" w:rsidRPr="00D3207A" w:rsidRDefault="003E706A" w:rsidP="005D263F">
      <w:pPr>
        <w:spacing w:after="0"/>
        <w:ind w:left="708"/>
        <w:jc w:val="both"/>
      </w:pPr>
      <w:r w:rsidRPr="00D3207A">
        <w:t>Insurance and reinsurance undertakings should require the actuarial function to take into account the source and the intended use of data in the data validation process.</w:t>
      </w:r>
    </w:p>
    <w:p w14:paraId="56DBEFB4" w14:textId="77777777" w:rsidR="003D243F" w:rsidRDefault="003D243F" w:rsidP="005D263F">
      <w:pPr>
        <w:spacing w:after="0"/>
      </w:pPr>
    </w:p>
    <w:p w14:paraId="019F8B12" w14:textId="49FB0135" w:rsidR="003E706A" w:rsidRPr="00D3207A" w:rsidRDefault="003E706A" w:rsidP="005D263F">
      <w:pPr>
        <w:spacing w:after="0"/>
        <w:jc w:val="both"/>
        <w:rPr>
          <w:b/>
          <w:bCs/>
        </w:rPr>
      </w:pPr>
      <w:r w:rsidRPr="00D3207A">
        <w:rPr>
          <w:b/>
          <w:bCs/>
        </w:rPr>
        <w:t>Guideline 7 – Application of expert judgment</w:t>
      </w:r>
    </w:p>
    <w:p w14:paraId="552D2123" w14:textId="77777777" w:rsidR="004F48D8" w:rsidRPr="00D3207A" w:rsidRDefault="004F48D8" w:rsidP="005D263F">
      <w:pPr>
        <w:spacing w:after="0"/>
        <w:jc w:val="both"/>
        <w:rPr>
          <w:b/>
          <w:bCs/>
        </w:rPr>
      </w:pPr>
    </w:p>
    <w:p w14:paraId="73F03EF4" w14:textId="5BAF9FE7" w:rsidR="003E706A" w:rsidRPr="00D3207A" w:rsidRDefault="003E706A" w:rsidP="005D263F">
      <w:pPr>
        <w:spacing w:after="0"/>
        <w:ind w:left="708"/>
        <w:jc w:val="both"/>
      </w:pPr>
      <w:r w:rsidRPr="00D3207A">
        <w:lastRenderedPageBreak/>
        <w:t>Insurance and reinsurance undertakings should ensure that the use of expert judgment in assessing accurate, appropriate and complete data for use in the calculation of technical provisions does not replace the appropriate collection, processing and analysis of data but supplements these where required.</w:t>
      </w:r>
    </w:p>
    <w:p w14:paraId="290F55D0" w14:textId="77777777" w:rsidR="000738AB" w:rsidRPr="00D3207A" w:rsidRDefault="000738AB" w:rsidP="005D263F">
      <w:pPr>
        <w:spacing w:after="0"/>
        <w:jc w:val="both"/>
        <w:rPr>
          <w:b/>
          <w:bCs/>
        </w:rPr>
      </w:pPr>
    </w:p>
    <w:p w14:paraId="62AC1891" w14:textId="34FA20E2" w:rsidR="003E706A" w:rsidRPr="00D3207A" w:rsidRDefault="003E706A" w:rsidP="005D263F">
      <w:pPr>
        <w:spacing w:after="0"/>
        <w:jc w:val="both"/>
        <w:rPr>
          <w:b/>
          <w:bCs/>
        </w:rPr>
      </w:pPr>
      <w:r w:rsidRPr="00D3207A">
        <w:rPr>
          <w:b/>
          <w:bCs/>
        </w:rPr>
        <w:t xml:space="preserve">Guideline 8 </w:t>
      </w:r>
      <w:r w:rsidR="00F12BBC" w:rsidRPr="00D3207A">
        <w:rPr>
          <w:b/>
          <w:bCs/>
        </w:rPr>
        <w:t>–</w:t>
      </w:r>
      <w:r w:rsidRPr="00D3207A">
        <w:rPr>
          <w:b/>
          <w:bCs/>
        </w:rPr>
        <w:t xml:space="preserve"> Validation and feedback process</w:t>
      </w:r>
    </w:p>
    <w:p w14:paraId="20AFDD34" w14:textId="77777777" w:rsidR="004F48D8" w:rsidRPr="00D3207A" w:rsidRDefault="004F48D8" w:rsidP="005D263F">
      <w:pPr>
        <w:spacing w:after="0"/>
        <w:jc w:val="both"/>
        <w:rPr>
          <w:b/>
          <w:bCs/>
        </w:rPr>
      </w:pPr>
    </w:p>
    <w:p w14:paraId="121596AE" w14:textId="7B964565" w:rsidR="003E706A" w:rsidRPr="00D3207A" w:rsidRDefault="003E706A" w:rsidP="005D263F">
      <w:pPr>
        <w:pStyle w:val="ListParagraph"/>
        <w:numPr>
          <w:ilvl w:val="0"/>
          <w:numId w:val="1"/>
        </w:numPr>
        <w:spacing w:after="0"/>
        <w:jc w:val="both"/>
      </w:pPr>
      <w:r w:rsidRPr="00D3207A">
        <w:t>Insurance and reinsurance undertakings should ensure that the actuarial function, within the remits of the coordination of technical provisions, also coordinates the assessment and validation of relevant data to be used in the valuation process.</w:t>
      </w:r>
    </w:p>
    <w:p w14:paraId="1FACD4FB" w14:textId="77777777" w:rsidR="004F48D8" w:rsidRPr="00D3207A" w:rsidRDefault="004F48D8" w:rsidP="005D263F">
      <w:pPr>
        <w:spacing w:after="0"/>
        <w:jc w:val="both"/>
      </w:pPr>
    </w:p>
    <w:p w14:paraId="61424057" w14:textId="7CFC99EF" w:rsidR="003E706A" w:rsidRPr="00D3207A" w:rsidRDefault="003E706A" w:rsidP="005D263F">
      <w:pPr>
        <w:pStyle w:val="ListParagraph"/>
        <w:numPr>
          <w:ilvl w:val="0"/>
          <w:numId w:val="1"/>
        </w:numPr>
        <w:spacing w:after="0"/>
        <w:jc w:val="both"/>
      </w:pPr>
      <w:r w:rsidRPr="00D3207A">
        <w:t>The coordination task should include at least:</w:t>
      </w:r>
    </w:p>
    <w:p w14:paraId="0A9BA35F" w14:textId="03F31F8F" w:rsidR="003E706A" w:rsidRPr="00D3207A" w:rsidRDefault="003E706A" w:rsidP="005D263F">
      <w:pPr>
        <w:pStyle w:val="ListParagraph"/>
        <w:numPr>
          <w:ilvl w:val="1"/>
          <w:numId w:val="99"/>
        </w:numPr>
        <w:spacing w:after="0"/>
        <w:ind w:left="993" w:hanging="284"/>
        <w:jc w:val="both"/>
      </w:pPr>
      <w:r w:rsidRPr="00D3207A">
        <w:t>the selection of data to be used in the valuation,</w:t>
      </w:r>
      <w:r w:rsidR="006E03C3" w:rsidRPr="00D3207A">
        <w:t xml:space="preserve"> </w:t>
      </w:r>
      <w:r w:rsidRPr="00D3207A">
        <w:t>having</w:t>
      </w:r>
      <w:r w:rsidR="006E03C3" w:rsidRPr="00D3207A">
        <w:t xml:space="preserve"> </w:t>
      </w:r>
      <w:r w:rsidRPr="00D3207A">
        <w:t>regard</w:t>
      </w:r>
      <w:r w:rsidR="006E03C3" w:rsidRPr="00D3207A">
        <w:t xml:space="preserve"> </w:t>
      </w:r>
      <w:r w:rsidRPr="00D3207A">
        <w:t>to</w:t>
      </w:r>
      <w:r w:rsidR="006E03C3" w:rsidRPr="00D3207A">
        <w:t xml:space="preserve"> </w:t>
      </w:r>
      <w:r w:rsidRPr="00D3207A">
        <w:t>the criteria of accuracy, appropriateness and completeness of data considering the methodologies which are most appropriate to be applied in the calculation. For this purpose, relevant tools should be used to check any material differences that may be found in data from a single year and within other relevant analysis</w:t>
      </w:r>
      <w:r w:rsidR="004C799E" w:rsidRPr="00D3207A">
        <w:t>;</w:t>
      </w:r>
    </w:p>
    <w:p w14:paraId="2ED066D7" w14:textId="3DCB4530" w:rsidR="003E706A" w:rsidRPr="00D3207A" w:rsidRDefault="003E706A" w:rsidP="005D263F">
      <w:pPr>
        <w:pStyle w:val="ListParagraph"/>
        <w:numPr>
          <w:ilvl w:val="1"/>
          <w:numId w:val="99"/>
        </w:numPr>
        <w:spacing w:after="0"/>
        <w:ind w:left="993" w:hanging="284"/>
        <w:jc w:val="both"/>
      </w:pPr>
      <w:r w:rsidRPr="00D3207A">
        <w:t>the reporting of any recommendations on the implementation of improvements in the internal procedures that are considered relevant to improve the compliance with the criteria as set out in point a)</w:t>
      </w:r>
      <w:r w:rsidR="004C799E" w:rsidRPr="00D3207A">
        <w:t>;</w:t>
      </w:r>
    </w:p>
    <w:p w14:paraId="0C060B0B" w14:textId="7D64A7BC" w:rsidR="003E706A" w:rsidRPr="00D3207A" w:rsidRDefault="003E706A" w:rsidP="005D263F">
      <w:pPr>
        <w:pStyle w:val="ListParagraph"/>
        <w:numPr>
          <w:ilvl w:val="1"/>
          <w:numId w:val="99"/>
        </w:numPr>
        <w:spacing w:after="0"/>
        <w:ind w:left="993" w:hanging="284"/>
        <w:jc w:val="both"/>
      </w:pPr>
      <w:r w:rsidRPr="00D3207A">
        <w:t>the identification of cases where additional external data are needed</w:t>
      </w:r>
      <w:r w:rsidR="004C799E" w:rsidRPr="00D3207A">
        <w:t>;</w:t>
      </w:r>
    </w:p>
    <w:p w14:paraId="3F865526" w14:textId="71C11D50" w:rsidR="003E706A" w:rsidRPr="00D3207A" w:rsidRDefault="003E706A" w:rsidP="005D263F">
      <w:pPr>
        <w:pStyle w:val="ListParagraph"/>
        <w:numPr>
          <w:ilvl w:val="1"/>
          <w:numId w:val="99"/>
        </w:numPr>
        <w:spacing w:after="0"/>
        <w:ind w:left="993" w:hanging="284"/>
        <w:jc w:val="both"/>
      </w:pPr>
      <w:r w:rsidRPr="00D3207A">
        <w:t>an assessment of the quality of external</w:t>
      </w:r>
      <w:r w:rsidR="006E03C3" w:rsidRPr="00D3207A">
        <w:t xml:space="preserve"> </w:t>
      </w:r>
      <w:r w:rsidRPr="00D3207A">
        <w:t>data,</w:t>
      </w:r>
      <w:r w:rsidR="006E03C3" w:rsidRPr="00D3207A">
        <w:t xml:space="preserve"> </w:t>
      </w:r>
      <w:r w:rsidRPr="00D3207A">
        <w:t>as</w:t>
      </w:r>
      <w:r w:rsidR="006E03C3" w:rsidRPr="00D3207A">
        <w:t xml:space="preserve"> </w:t>
      </w:r>
      <w:r w:rsidRPr="00D3207A">
        <w:t>performed</w:t>
      </w:r>
      <w:r w:rsidR="006E03C3" w:rsidRPr="00D3207A">
        <w:t xml:space="preserve"> </w:t>
      </w:r>
      <w:r w:rsidRPr="00D3207A">
        <w:t>for</w:t>
      </w:r>
      <w:r w:rsidR="006E03C3" w:rsidRPr="00D3207A">
        <w:t xml:space="preserve"> </w:t>
      </w:r>
      <w:r w:rsidRPr="00D3207A">
        <w:t>internal data, focusing on whether market data are required or when they should be used to improve the quality of internal data and if and how enhancements to the available data should be applied</w:t>
      </w:r>
      <w:r w:rsidR="004C799E" w:rsidRPr="00D3207A">
        <w:t>;</w:t>
      </w:r>
    </w:p>
    <w:p w14:paraId="526DC533" w14:textId="2E1DD7E6" w:rsidR="003E706A" w:rsidRPr="00D3207A" w:rsidRDefault="003E706A" w:rsidP="005D263F">
      <w:pPr>
        <w:pStyle w:val="ListParagraph"/>
        <w:numPr>
          <w:ilvl w:val="1"/>
          <w:numId w:val="99"/>
        </w:numPr>
        <w:spacing w:after="0"/>
        <w:ind w:left="993" w:hanging="284"/>
        <w:jc w:val="both"/>
      </w:pPr>
      <w:r w:rsidRPr="00D3207A">
        <w:t>an assessment of whether any adjustments need to be applied to available data, as part of actuarial best practice, to improve the goodness-of-fit and the reliability of the estimates derived from actuarial and</w:t>
      </w:r>
      <w:r w:rsidR="006E03C3" w:rsidRPr="00D3207A">
        <w:t xml:space="preserve"> </w:t>
      </w:r>
      <w:r w:rsidRPr="00D3207A">
        <w:t>statistical provisioning methodologies based on these data</w:t>
      </w:r>
      <w:r w:rsidR="004C799E" w:rsidRPr="00D3207A">
        <w:t>;</w:t>
      </w:r>
    </w:p>
    <w:p w14:paraId="6A7A063E" w14:textId="1C82C51D" w:rsidR="003E706A" w:rsidRPr="00D3207A" w:rsidRDefault="003E706A" w:rsidP="005D263F">
      <w:pPr>
        <w:pStyle w:val="ListParagraph"/>
        <w:numPr>
          <w:ilvl w:val="1"/>
          <w:numId w:val="99"/>
        </w:numPr>
        <w:spacing w:after="0"/>
        <w:ind w:left="993" w:hanging="284"/>
        <w:jc w:val="both"/>
      </w:pPr>
      <w:r w:rsidRPr="00D3207A">
        <w:t>the recording of any relevant insights that have been gained in the assessment and validation process that may become relevant to the other steps of calculation of technical provisions, and that relate to</w:t>
      </w:r>
      <w:r w:rsidR="006E03C3" w:rsidRPr="00D3207A">
        <w:t xml:space="preserve"> </w:t>
      </w:r>
      <w:r w:rsidRPr="00D3207A">
        <w:t>the</w:t>
      </w:r>
      <w:r w:rsidR="006E03C3" w:rsidRPr="00D3207A">
        <w:t xml:space="preserve"> </w:t>
      </w:r>
      <w:r w:rsidRPr="00D3207A">
        <w:t>understanding of the underlying risks and also to the knowledge</w:t>
      </w:r>
      <w:r w:rsidR="006E03C3" w:rsidRPr="00D3207A">
        <w:t xml:space="preserve"> </w:t>
      </w:r>
      <w:r w:rsidRPr="00D3207A">
        <w:t>of</w:t>
      </w:r>
      <w:r w:rsidR="006E03C3" w:rsidRPr="00D3207A">
        <w:t xml:space="preserve"> </w:t>
      </w:r>
      <w:r w:rsidRPr="00D3207A">
        <w:t>the</w:t>
      </w:r>
      <w:r w:rsidR="006E03C3" w:rsidRPr="00D3207A">
        <w:t xml:space="preserve"> </w:t>
      </w:r>
      <w:r w:rsidRPr="00D3207A">
        <w:t>quality and limitations of available data.</w:t>
      </w:r>
    </w:p>
    <w:p w14:paraId="2D078F25" w14:textId="77777777" w:rsidR="005B5EFB" w:rsidRPr="00D3207A" w:rsidRDefault="005B5EFB" w:rsidP="005D263F">
      <w:pPr>
        <w:spacing w:after="0"/>
        <w:jc w:val="both"/>
        <w:rPr>
          <w:b/>
          <w:bCs/>
        </w:rPr>
      </w:pPr>
    </w:p>
    <w:p w14:paraId="664E57AE" w14:textId="188B2498" w:rsidR="003E706A" w:rsidRPr="00D3207A" w:rsidRDefault="003E706A" w:rsidP="005D263F">
      <w:pPr>
        <w:spacing w:after="0"/>
        <w:jc w:val="both"/>
        <w:rPr>
          <w:b/>
          <w:bCs/>
        </w:rPr>
      </w:pPr>
      <w:r w:rsidRPr="00D3207A">
        <w:rPr>
          <w:b/>
          <w:bCs/>
        </w:rPr>
        <w:t>Limitations of data</w:t>
      </w:r>
    </w:p>
    <w:p w14:paraId="440CA219" w14:textId="77777777" w:rsidR="003D243F" w:rsidRDefault="003D243F" w:rsidP="005D263F">
      <w:pPr>
        <w:spacing w:after="0"/>
        <w:jc w:val="both"/>
        <w:rPr>
          <w:b/>
          <w:bCs/>
        </w:rPr>
      </w:pPr>
    </w:p>
    <w:p w14:paraId="6686A246" w14:textId="4E879FDC" w:rsidR="003E706A" w:rsidRPr="00D3207A" w:rsidRDefault="003E706A" w:rsidP="005D263F">
      <w:pPr>
        <w:spacing w:after="0"/>
        <w:jc w:val="both"/>
        <w:rPr>
          <w:b/>
          <w:bCs/>
        </w:rPr>
      </w:pPr>
      <w:r w:rsidRPr="00D3207A">
        <w:rPr>
          <w:b/>
          <w:bCs/>
        </w:rPr>
        <w:t>Guideline 9 – Identification of the source of material limitations</w:t>
      </w:r>
    </w:p>
    <w:p w14:paraId="72E415A4" w14:textId="77777777" w:rsidR="004F48D8" w:rsidRPr="00D3207A" w:rsidRDefault="004F48D8" w:rsidP="005D263F">
      <w:pPr>
        <w:spacing w:after="0"/>
        <w:jc w:val="both"/>
        <w:rPr>
          <w:b/>
          <w:bCs/>
        </w:rPr>
      </w:pPr>
    </w:p>
    <w:p w14:paraId="44ED0F76" w14:textId="62C7FAE1" w:rsidR="003E706A" w:rsidRPr="00D3207A" w:rsidRDefault="003E706A" w:rsidP="005D263F">
      <w:pPr>
        <w:spacing w:after="0"/>
        <w:ind w:left="708"/>
      </w:pPr>
      <w:r w:rsidRPr="00D3207A">
        <w:t>Insurance and reinsurance undertakings should ensure that the actuarial function assesses the data accuracy, completeness and appropriateness</w:t>
      </w:r>
      <w:r w:rsidR="006E03C3" w:rsidRPr="00D3207A">
        <w:t xml:space="preserve"> </w:t>
      </w:r>
      <w:r w:rsidRPr="00D3207A">
        <w:t>in order to identify any material limitations of the data. If material limitations are identified, the sources of those limitations should also be identified.</w:t>
      </w:r>
    </w:p>
    <w:p w14:paraId="1C29F695" w14:textId="77777777" w:rsidR="003D243F" w:rsidRDefault="003D243F" w:rsidP="005D263F">
      <w:pPr>
        <w:spacing w:after="0"/>
        <w:jc w:val="both"/>
        <w:rPr>
          <w:b/>
          <w:bCs/>
        </w:rPr>
      </w:pPr>
    </w:p>
    <w:p w14:paraId="5576EE4B" w14:textId="0A6D3F81" w:rsidR="003E706A" w:rsidRPr="00D3207A" w:rsidRDefault="003E706A" w:rsidP="005D263F">
      <w:pPr>
        <w:spacing w:after="0"/>
        <w:jc w:val="both"/>
        <w:rPr>
          <w:b/>
          <w:bCs/>
        </w:rPr>
      </w:pPr>
      <w:r w:rsidRPr="00D3207A">
        <w:rPr>
          <w:b/>
          <w:bCs/>
        </w:rPr>
        <w:t xml:space="preserve">Guideline 10 </w:t>
      </w:r>
      <w:r w:rsidR="004C799E" w:rsidRPr="00D3207A">
        <w:rPr>
          <w:b/>
          <w:bCs/>
        </w:rPr>
        <w:t>–</w:t>
      </w:r>
      <w:r w:rsidRPr="00D3207A">
        <w:rPr>
          <w:b/>
          <w:bCs/>
        </w:rPr>
        <w:t xml:space="preserve"> Impact of shortcomings</w:t>
      </w:r>
    </w:p>
    <w:p w14:paraId="6D5D4B14" w14:textId="77777777" w:rsidR="0033066A" w:rsidRPr="00D3207A" w:rsidRDefault="0033066A" w:rsidP="005D263F">
      <w:pPr>
        <w:spacing w:after="0"/>
        <w:jc w:val="both"/>
        <w:rPr>
          <w:b/>
          <w:bCs/>
        </w:rPr>
      </w:pPr>
    </w:p>
    <w:p w14:paraId="2E608132" w14:textId="0C9B4841" w:rsidR="003E706A" w:rsidRPr="00D3207A" w:rsidRDefault="003E706A" w:rsidP="005D263F">
      <w:pPr>
        <w:pStyle w:val="ListParagraph"/>
        <w:numPr>
          <w:ilvl w:val="0"/>
          <w:numId w:val="11"/>
        </w:numPr>
        <w:spacing w:after="0"/>
        <w:jc w:val="both"/>
      </w:pPr>
      <w:r w:rsidRPr="00D3207A">
        <w:t>In order to identify and assess the impact of any possible shortcomings that could affect the compliance with the</w:t>
      </w:r>
      <w:r w:rsidR="006E03C3" w:rsidRPr="00D3207A">
        <w:t xml:space="preserve"> </w:t>
      </w:r>
      <w:r w:rsidRPr="00D3207A">
        <w:t>requirements</w:t>
      </w:r>
      <w:r w:rsidR="006E03C3" w:rsidRPr="00D3207A">
        <w:t xml:space="preserve"> </w:t>
      </w:r>
      <w:r w:rsidRPr="00D3207A">
        <w:t>of</w:t>
      </w:r>
      <w:r w:rsidR="006E03C3" w:rsidRPr="00D3207A">
        <w:t xml:space="preserve"> </w:t>
      </w:r>
      <w:r w:rsidRPr="00D3207A">
        <w:t>data</w:t>
      </w:r>
      <w:r w:rsidR="006E03C3" w:rsidRPr="00D3207A">
        <w:t xml:space="preserve"> </w:t>
      </w:r>
      <w:r w:rsidRPr="00D3207A">
        <w:t>quality,</w:t>
      </w:r>
      <w:r w:rsidR="006E03C3" w:rsidRPr="00D3207A">
        <w:t xml:space="preserve"> </w:t>
      </w:r>
      <w:r w:rsidRPr="00D3207A">
        <w:t>insurance</w:t>
      </w:r>
      <w:r w:rsidR="006E03C3" w:rsidRPr="00D3207A">
        <w:t xml:space="preserve"> </w:t>
      </w:r>
      <w:r w:rsidRPr="00D3207A">
        <w:t xml:space="preserve">and reinsurance </w:t>
      </w:r>
      <w:r w:rsidRPr="00D3207A">
        <w:lastRenderedPageBreak/>
        <w:t>undertakings should ensure that</w:t>
      </w:r>
      <w:r w:rsidR="006E03C3" w:rsidRPr="00D3207A">
        <w:t xml:space="preserve"> </w:t>
      </w:r>
      <w:r w:rsidRPr="00D3207A">
        <w:t>the</w:t>
      </w:r>
      <w:r w:rsidR="006E03C3" w:rsidRPr="00D3207A">
        <w:t xml:space="preserve"> </w:t>
      </w:r>
      <w:r w:rsidRPr="00D3207A">
        <w:t>actuarial</w:t>
      </w:r>
      <w:r w:rsidR="006E03C3" w:rsidRPr="00D3207A">
        <w:t xml:space="preserve"> </w:t>
      </w:r>
      <w:r w:rsidRPr="00D3207A">
        <w:t>function considers all relevant documentation related to internal processes and procedures of collection, storage and validation of data used for the valuation of technical provisions and, where necessary, search for more specific information by contacting the personnel involved in these processes.</w:t>
      </w:r>
    </w:p>
    <w:p w14:paraId="3482FAE2" w14:textId="77777777" w:rsidR="00A87F22" w:rsidRPr="00D3207A" w:rsidRDefault="00A87F22" w:rsidP="005D263F">
      <w:pPr>
        <w:pStyle w:val="ListParagraph"/>
        <w:spacing w:after="0"/>
        <w:jc w:val="both"/>
      </w:pPr>
    </w:p>
    <w:p w14:paraId="194EB250" w14:textId="29D09ED2" w:rsidR="003E706A" w:rsidRPr="00D3207A" w:rsidRDefault="003E706A" w:rsidP="005D263F">
      <w:pPr>
        <w:pStyle w:val="ListParagraph"/>
        <w:numPr>
          <w:ilvl w:val="0"/>
          <w:numId w:val="11"/>
        </w:numPr>
        <w:spacing w:after="0"/>
        <w:jc w:val="both"/>
      </w:pPr>
      <w:r w:rsidRPr="00D3207A">
        <w:t>Additionally, undertakings should ensure that the actuarial function coordinates any relevant task that may be performed in order to assess the impact of the shortcomings identified on the available data to be used in the calculation of technical provisions to obtain findings on whether the available data should be used for the intended purpose or if alternative data should be sought.</w:t>
      </w:r>
    </w:p>
    <w:p w14:paraId="29DBFCF9" w14:textId="77777777" w:rsidR="00C91B4D" w:rsidRPr="00D3207A" w:rsidRDefault="00C91B4D" w:rsidP="005D263F">
      <w:pPr>
        <w:spacing w:after="0"/>
        <w:jc w:val="both"/>
        <w:rPr>
          <w:b/>
          <w:bCs/>
        </w:rPr>
      </w:pPr>
    </w:p>
    <w:p w14:paraId="7B1B54D7" w14:textId="2F4CA17D" w:rsidR="003E706A" w:rsidRPr="00D3207A" w:rsidRDefault="003E706A" w:rsidP="005D263F">
      <w:pPr>
        <w:spacing w:after="0"/>
        <w:jc w:val="both"/>
        <w:rPr>
          <w:b/>
          <w:bCs/>
        </w:rPr>
      </w:pPr>
      <w:r w:rsidRPr="00D3207A">
        <w:rPr>
          <w:b/>
          <w:bCs/>
        </w:rPr>
        <w:t>Guideline 11 – Data adjustments</w:t>
      </w:r>
    </w:p>
    <w:p w14:paraId="546A0116" w14:textId="77777777" w:rsidR="002229D8" w:rsidRPr="00D3207A" w:rsidRDefault="002229D8" w:rsidP="005D263F">
      <w:pPr>
        <w:spacing w:after="0"/>
        <w:jc w:val="both"/>
        <w:rPr>
          <w:b/>
          <w:bCs/>
        </w:rPr>
      </w:pPr>
    </w:p>
    <w:p w14:paraId="398DC0A1" w14:textId="4369B38F" w:rsidR="003E706A" w:rsidRPr="00D3207A" w:rsidRDefault="003E706A" w:rsidP="005D263F">
      <w:pPr>
        <w:pStyle w:val="ListParagraph"/>
        <w:numPr>
          <w:ilvl w:val="0"/>
          <w:numId w:val="12"/>
        </w:numPr>
        <w:spacing w:after="0"/>
        <w:jc w:val="both"/>
      </w:pPr>
      <w:r w:rsidRPr="00D3207A">
        <w:t>Where data deficiencies are identified, insurance and reinsurance undertakings should ensure that the actuarial function assesses whether the quality of data considering its purpose can be improved by adjusting or supplementing it.</w:t>
      </w:r>
    </w:p>
    <w:p w14:paraId="5C574442" w14:textId="77777777" w:rsidR="00A87F22" w:rsidRPr="00D3207A" w:rsidRDefault="00A87F22" w:rsidP="005D263F">
      <w:pPr>
        <w:pStyle w:val="ListParagraph"/>
        <w:spacing w:after="0"/>
        <w:jc w:val="both"/>
      </w:pPr>
    </w:p>
    <w:p w14:paraId="6FD9A2B8" w14:textId="1AE27DA8" w:rsidR="003E706A" w:rsidRPr="00D3207A" w:rsidRDefault="003E706A" w:rsidP="005D263F">
      <w:pPr>
        <w:pStyle w:val="ListParagraph"/>
        <w:numPr>
          <w:ilvl w:val="0"/>
          <w:numId w:val="12"/>
        </w:numPr>
        <w:spacing w:after="0"/>
        <w:jc w:val="both"/>
      </w:pPr>
      <w:r w:rsidRPr="00D3207A">
        <w:t>Insurance and reinsurance undertakings should ensure that they implement appropriate measures to overcome limitations of data arising from the exchange of information with business partner.</w:t>
      </w:r>
    </w:p>
    <w:p w14:paraId="2F0B91B3" w14:textId="77777777" w:rsidR="00A87F22" w:rsidRPr="00D3207A" w:rsidRDefault="00A87F22" w:rsidP="005D263F">
      <w:pPr>
        <w:pStyle w:val="ListParagraph"/>
        <w:spacing w:after="0"/>
      </w:pPr>
    </w:p>
    <w:p w14:paraId="23C49E5A" w14:textId="6BF5EE4C" w:rsidR="003E706A" w:rsidRPr="00D3207A" w:rsidRDefault="003E706A" w:rsidP="005D263F">
      <w:pPr>
        <w:pStyle w:val="ListParagraph"/>
        <w:numPr>
          <w:ilvl w:val="0"/>
          <w:numId w:val="12"/>
        </w:numPr>
        <w:spacing w:after="0"/>
        <w:jc w:val="both"/>
      </w:pPr>
      <w:r w:rsidRPr="00D3207A">
        <w:t>When external data is used, undertakings should ensure that data remain compliant</w:t>
      </w:r>
      <w:r w:rsidR="006E03C3" w:rsidRPr="00D3207A">
        <w:t xml:space="preserve"> </w:t>
      </w:r>
      <w:r w:rsidRPr="00D3207A">
        <w:t>with</w:t>
      </w:r>
      <w:r w:rsidR="006E03C3" w:rsidRPr="00D3207A">
        <w:t xml:space="preserve"> </w:t>
      </w:r>
      <w:r w:rsidRPr="00D3207A">
        <w:t>the</w:t>
      </w:r>
      <w:r w:rsidR="006E03C3" w:rsidRPr="00D3207A">
        <w:t xml:space="preserve"> </w:t>
      </w:r>
      <w:r w:rsidRPr="00D3207A">
        <w:t>standards</w:t>
      </w:r>
      <w:r w:rsidR="006E03C3" w:rsidRPr="00D3207A">
        <w:t xml:space="preserve"> </w:t>
      </w:r>
      <w:r w:rsidRPr="00D3207A">
        <w:t>set</w:t>
      </w:r>
      <w:r w:rsidR="006E03C3" w:rsidRPr="00D3207A">
        <w:t xml:space="preserve"> </w:t>
      </w:r>
      <w:r w:rsidRPr="00D3207A">
        <w:t>in</w:t>
      </w:r>
      <w:r w:rsidR="006E03C3" w:rsidRPr="00D3207A">
        <w:t xml:space="preserve"> </w:t>
      </w:r>
      <w:r w:rsidRPr="00D3207A">
        <w:t>these</w:t>
      </w:r>
      <w:r w:rsidR="006E03C3" w:rsidRPr="00D3207A">
        <w:t xml:space="preserve"> </w:t>
      </w:r>
      <w:r w:rsidRPr="00D3207A">
        <w:t>guidelines</w:t>
      </w:r>
      <w:r w:rsidR="006E03C3" w:rsidRPr="00D3207A">
        <w:t xml:space="preserve"> </w:t>
      </w:r>
      <w:r w:rsidRPr="00D3207A">
        <w:t>regarding</w:t>
      </w:r>
      <w:r w:rsidR="006E03C3" w:rsidRPr="00D3207A">
        <w:t xml:space="preserve"> </w:t>
      </w:r>
      <w:r w:rsidRPr="00D3207A">
        <w:t>the</w:t>
      </w:r>
      <w:r w:rsidR="006E03C3" w:rsidRPr="00D3207A">
        <w:t xml:space="preserve"> </w:t>
      </w:r>
      <w:r w:rsidRPr="00D3207A">
        <w:t>quality of data.</w:t>
      </w:r>
    </w:p>
    <w:p w14:paraId="2D11AE6A" w14:textId="77777777" w:rsidR="00A87F22" w:rsidRPr="00D3207A" w:rsidRDefault="00A87F22" w:rsidP="005D263F">
      <w:pPr>
        <w:pStyle w:val="ListParagraph"/>
        <w:spacing w:after="0"/>
      </w:pPr>
    </w:p>
    <w:p w14:paraId="53B78404" w14:textId="77909D6E" w:rsidR="003E706A" w:rsidRPr="00D3207A" w:rsidRDefault="003E706A" w:rsidP="005D263F">
      <w:pPr>
        <w:pStyle w:val="ListParagraph"/>
        <w:numPr>
          <w:ilvl w:val="0"/>
          <w:numId w:val="12"/>
        </w:numPr>
        <w:spacing w:after="0"/>
        <w:jc w:val="both"/>
      </w:pPr>
      <w:r w:rsidRPr="00D3207A">
        <w:t>Undertakings should decide whether it is possible to adjust data to overcome the shortcomings which affect the quality of data and, if applicable,</w:t>
      </w:r>
      <w:r w:rsidR="006E03C3" w:rsidRPr="00D3207A">
        <w:t xml:space="preserve"> </w:t>
      </w:r>
      <w:r w:rsidRPr="00D3207A">
        <w:t>what specific adjustments should be introduced.</w:t>
      </w:r>
    </w:p>
    <w:p w14:paraId="00DB79F8" w14:textId="77777777" w:rsidR="00A87F22" w:rsidRPr="00D3207A" w:rsidRDefault="00A87F22" w:rsidP="005D263F">
      <w:pPr>
        <w:pStyle w:val="ListParagraph"/>
        <w:spacing w:after="0"/>
      </w:pPr>
    </w:p>
    <w:p w14:paraId="59D001C5" w14:textId="7FD0C8C1" w:rsidR="003E706A" w:rsidRPr="00D3207A" w:rsidRDefault="003E706A" w:rsidP="005D263F">
      <w:pPr>
        <w:pStyle w:val="ListParagraph"/>
        <w:numPr>
          <w:ilvl w:val="0"/>
          <w:numId w:val="12"/>
        </w:numPr>
        <w:spacing w:after="0"/>
        <w:jc w:val="both"/>
      </w:pPr>
      <w:r w:rsidRPr="00D3207A">
        <w:t>Undertakings should ensure that the adjustments are limited to the level strictly necessary to enhance compliance with the criteria set out in the previous guidelines and do not distort the identification of trends and any other characteristics regarding the underlying risks reflected in the data.</w:t>
      </w:r>
    </w:p>
    <w:p w14:paraId="1CAD8D7F" w14:textId="77777777" w:rsidR="00400D8B" w:rsidRPr="00D3207A" w:rsidRDefault="00400D8B" w:rsidP="005D263F">
      <w:pPr>
        <w:spacing w:after="0"/>
        <w:jc w:val="both"/>
      </w:pPr>
    </w:p>
    <w:p w14:paraId="1BE0CB9E" w14:textId="491A438C" w:rsidR="003E706A" w:rsidRPr="00D3207A" w:rsidRDefault="003E706A" w:rsidP="005D263F">
      <w:pPr>
        <w:spacing w:after="0"/>
        <w:jc w:val="both"/>
        <w:rPr>
          <w:b/>
          <w:bCs/>
        </w:rPr>
      </w:pPr>
      <w:r w:rsidRPr="00D3207A">
        <w:rPr>
          <w:b/>
          <w:bCs/>
        </w:rPr>
        <w:t>Guideline 12 – Recommendations of the actuarial function</w:t>
      </w:r>
    </w:p>
    <w:p w14:paraId="32ED0F0B" w14:textId="77777777" w:rsidR="00400D8B" w:rsidRPr="00D3207A" w:rsidRDefault="00400D8B" w:rsidP="005D263F">
      <w:pPr>
        <w:spacing w:after="0"/>
        <w:jc w:val="both"/>
      </w:pPr>
    </w:p>
    <w:p w14:paraId="168DCF4C" w14:textId="62716A3F" w:rsidR="003E706A" w:rsidRPr="00D3207A" w:rsidRDefault="003E706A" w:rsidP="005D263F">
      <w:pPr>
        <w:spacing w:after="0"/>
        <w:ind w:left="708"/>
        <w:jc w:val="both"/>
      </w:pPr>
      <w:r w:rsidRPr="00D3207A">
        <w:t>Insurance and reinsurance undertakings should ensure that the actuarial function delivers recommendations to the management body on the procedures that could be performed in order to increase the quality and the quantity of available data. To accomplish this task,</w:t>
      </w:r>
      <w:r w:rsidR="006E03C3" w:rsidRPr="00D3207A">
        <w:t xml:space="preserve"> </w:t>
      </w:r>
      <w:r w:rsidRPr="00D3207A">
        <w:t>the</w:t>
      </w:r>
      <w:r w:rsidR="006E03C3" w:rsidRPr="00D3207A">
        <w:t xml:space="preserve"> </w:t>
      </w:r>
      <w:r w:rsidRPr="00D3207A">
        <w:t>actuarial</w:t>
      </w:r>
      <w:r w:rsidR="006E03C3" w:rsidRPr="00D3207A">
        <w:t xml:space="preserve"> </w:t>
      </w:r>
      <w:r w:rsidRPr="00D3207A">
        <w:t>function</w:t>
      </w:r>
      <w:r w:rsidR="006E03C3" w:rsidRPr="00D3207A">
        <w:t xml:space="preserve"> </w:t>
      </w:r>
      <w:r w:rsidRPr="00D3207A">
        <w:t>should identify the sources of material limitations and propose possible solutions considering their effectiveness and the time necessary to implement them.</w:t>
      </w:r>
    </w:p>
    <w:p w14:paraId="66F67721" w14:textId="77777777" w:rsidR="00400D8B" w:rsidRPr="00D3207A" w:rsidRDefault="00400D8B" w:rsidP="005D263F">
      <w:pPr>
        <w:spacing w:after="0"/>
        <w:jc w:val="both"/>
      </w:pPr>
    </w:p>
    <w:p w14:paraId="59564DC1" w14:textId="531903E6" w:rsidR="003E706A" w:rsidRPr="00D3207A" w:rsidRDefault="003E706A" w:rsidP="005D263F">
      <w:pPr>
        <w:spacing w:after="0"/>
        <w:jc w:val="both"/>
        <w:rPr>
          <w:b/>
          <w:bCs/>
        </w:rPr>
      </w:pPr>
      <w:r w:rsidRPr="00D3207A">
        <w:rPr>
          <w:b/>
          <w:bCs/>
        </w:rPr>
        <w:t>Guideline 13 – Application of expert judgment upon material limitations</w:t>
      </w:r>
    </w:p>
    <w:p w14:paraId="01B77DE7" w14:textId="77777777" w:rsidR="00400D8B" w:rsidRPr="00D3207A" w:rsidRDefault="00400D8B" w:rsidP="005D263F">
      <w:pPr>
        <w:spacing w:after="0"/>
        <w:jc w:val="both"/>
        <w:rPr>
          <w:b/>
          <w:bCs/>
        </w:rPr>
      </w:pPr>
    </w:p>
    <w:p w14:paraId="3D3061A9" w14:textId="6077D29B" w:rsidR="003E706A" w:rsidRPr="00D3207A" w:rsidRDefault="003E706A" w:rsidP="005D263F">
      <w:pPr>
        <w:spacing w:after="0"/>
        <w:ind w:left="708"/>
        <w:jc w:val="both"/>
      </w:pPr>
      <w:r w:rsidRPr="00D3207A">
        <w:t>Where there are material limitations to the data that cannot be</w:t>
      </w:r>
      <w:r w:rsidR="006E03C3" w:rsidRPr="00D3207A">
        <w:t xml:space="preserve"> </w:t>
      </w:r>
      <w:r w:rsidRPr="00D3207A">
        <w:t xml:space="preserve">remedied without undue complexity, insurance and reinsurance undertakings should ensure that expert judgment </w:t>
      </w:r>
      <w:r w:rsidRPr="00D3207A">
        <w:lastRenderedPageBreak/>
        <w:t>is applied to overcome these limitations to ensure that technical provisions are appropriately calculated. The</w:t>
      </w:r>
      <w:r w:rsidR="006E03C3" w:rsidRPr="00D3207A">
        <w:t xml:space="preserve"> </w:t>
      </w:r>
      <w:r w:rsidRPr="00D3207A">
        <w:t>calculation of technical provisions should not be impaired as a result of inaccurate or incomplete data.</w:t>
      </w:r>
    </w:p>
    <w:p w14:paraId="16CBC325" w14:textId="77777777" w:rsidR="00400D8B" w:rsidRPr="00D3207A" w:rsidRDefault="00400D8B" w:rsidP="005D263F">
      <w:pPr>
        <w:spacing w:after="0"/>
        <w:jc w:val="both"/>
      </w:pPr>
    </w:p>
    <w:p w14:paraId="041F55DB" w14:textId="3D84E8E6" w:rsidR="003E706A" w:rsidRPr="00D3207A" w:rsidRDefault="003E706A" w:rsidP="005D263F">
      <w:pPr>
        <w:spacing w:after="0"/>
        <w:jc w:val="both"/>
        <w:rPr>
          <w:b/>
          <w:bCs/>
        </w:rPr>
      </w:pPr>
      <w:r w:rsidRPr="00D3207A">
        <w:rPr>
          <w:b/>
          <w:bCs/>
        </w:rPr>
        <w:t>Guideline 14 – Documentation of data limitations</w:t>
      </w:r>
    </w:p>
    <w:p w14:paraId="57DAD608" w14:textId="77777777" w:rsidR="00400D8B" w:rsidRPr="00D3207A" w:rsidRDefault="00400D8B" w:rsidP="005D263F">
      <w:pPr>
        <w:spacing w:after="0"/>
        <w:jc w:val="both"/>
        <w:rPr>
          <w:b/>
          <w:bCs/>
        </w:rPr>
      </w:pPr>
    </w:p>
    <w:p w14:paraId="07E0BFBA" w14:textId="2DDC1BF1" w:rsidR="003E706A" w:rsidRPr="00D3207A" w:rsidRDefault="003E706A" w:rsidP="005D263F">
      <w:pPr>
        <w:pStyle w:val="ListParagraph"/>
        <w:numPr>
          <w:ilvl w:val="0"/>
          <w:numId w:val="15"/>
        </w:numPr>
        <w:spacing w:after="0"/>
        <w:jc w:val="both"/>
      </w:pPr>
      <w:r w:rsidRPr="00D3207A">
        <w:t>Insurance and reinsurance undertakings should ensure that the actuarial function documents data limitations, including at least:</w:t>
      </w:r>
    </w:p>
    <w:p w14:paraId="1C535951" w14:textId="6655ADFD" w:rsidR="003E706A" w:rsidRPr="00D3207A" w:rsidRDefault="00262DEE" w:rsidP="005D263F">
      <w:pPr>
        <w:spacing w:after="0"/>
        <w:ind w:left="993" w:hanging="285"/>
        <w:jc w:val="both"/>
      </w:pPr>
      <w:r w:rsidRPr="00D3207A">
        <w:t>a)</w:t>
      </w:r>
      <w:r w:rsidRPr="00D3207A">
        <w:tab/>
      </w:r>
      <w:r w:rsidR="004C799E" w:rsidRPr="00D3207A">
        <w:t>a</w:t>
      </w:r>
      <w:r w:rsidRPr="00D3207A">
        <w:t xml:space="preserve"> description of the shortcomings comprising its causes and any references to other documents where they were identified</w:t>
      </w:r>
      <w:r w:rsidR="004C799E" w:rsidRPr="00D3207A">
        <w:t>;</w:t>
      </w:r>
    </w:p>
    <w:p w14:paraId="5BA4AD3E" w14:textId="0000ACCA" w:rsidR="003E706A" w:rsidRPr="00D3207A" w:rsidRDefault="00262DEE" w:rsidP="005D263F">
      <w:pPr>
        <w:spacing w:after="0"/>
        <w:ind w:left="993" w:hanging="285"/>
        <w:jc w:val="both"/>
      </w:pPr>
      <w:r w:rsidRPr="00D3207A">
        <w:t>b)</w:t>
      </w:r>
      <w:r w:rsidRPr="00D3207A">
        <w:tab/>
      </w:r>
      <w:r w:rsidR="004C799E" w:rsidRPr="00D3207A">
        <w:t>a</w:t>
      </w:r>
      <w:r w:rsidRPr="00D3207A">
        <w:t xml:space="preserve"> summary explanation on the impact of the shortcomings in the calculation of technical provisions regarding its materiality and how it affects this process;</w:t>
      </w:r>
    </w:p>
    <w:p w14:paraId="306E3FC7" w14:textId="34F167BF" w:rsidR="003E706A" w:rsidRPr="00D3207A" w:rsidRDefault="00696138" w:rsidP="005D263F">
      <w:pPr>
        <w:spacing w:after="0"/>
        <w:ind w:left="993" w:hanging="285"/>
        <w:jc w:val="both"/>
      </w:pPr>
      <w:r w:rsidRPr="00D3207A">
        <w:t>c)</w:t>
      </w:r>
      <w:r w:rsidRPr="00D3207A">
        <w:tab/>
      </w:r>
      <w:r w:rsidR="004C799E" w:rsidRPr="00D3207A">
        <w:t>a</w:t>
      </w:r>
      <w:r w:rsidRPr="00D3207A">
        <w:t xml:space="preserve"> description of the actions taken by the actuarial function to detect the shortcomings, complementarily or not with other sources and documents;</w:t>
      </w:r>
    </w:p>
    <w:p w14:paraId="31EAE6E3" w14:textId="2C25E43B" w:rsidR="003E706A" w:rsidRPr="00D3207A" w:rsidRDefault="00696138" w:rsidP="005D263F">
      <w:pPr>
        <w:spacing w:after="0"/>
        <w:ind w:left="993" w:hanging="285"/>
        <w:jc w:val="both"/>
      </w:pPr>
      <w:r w:rsidRPr="00D3207A">
        <w:t>d)</w:t>
      </w:r>
      <w:r w:rsidR="004C799E" w:rsidRPr="00D3207A">
        <w:tab/>
        <w:t>a</w:t>
      </w:r>
      <w:r w:rsidRPr="00D3207A">
        <w:t xml:space="preserve"> description of how such situations can be remedied in a short term for the intended purpose and any relevant recommendations to be applied to enhance data quality in the future.</w:t>
      </w:r>
    </w:p>
    <w:p w14:paraId="5C96409B" w14:textId="77777777" w:rsidR="00C91B4D" w:rsidRPr="00D3207A" w:rsidRDefault="00C91B4D" w:rsidP="005D263F">
      <w:pPr>
        <w:spacing w:after="0"/>
        <w:ind w:left="993" w:hanging="285"/>
        <w:jc w:val="both"/>
      </w:pPr>
    </w:p>
    <w:p w14:paraId="2846F2E3" w14:textId="3E5E3B6D" w:rsidR="003E706A" w:rsidRPr="00D3207A" w:rsidRDefault="003E706A" w:rsidP="005D263F">
      <w:pPr>
        <w:spacing w:after="0"/>
        <w:jc w:val="both"/>
        <w:rPr>
          <w:b/>
          <w:bCs/>
        </w:rPr>
      </w:pPr>
      <w:r w:rsidRPr="00D3207A">
        <w:rPr>
          <w:b/>
          <w:bCs/>
        </w:rPr>
        <w:t>Market data</w:t>
      </w:r>
    </w:p>
    <w:p w14:paraId="4BA89AC8" w14:textId="77777777" w:rsidR="003D243F" w:rsidRDefault="003D243F" w:rsidP="005D263F">
      <w:pPr>
        <w:spacing w:after="0"/>
        <w:jc w:val="both"/>
        <w:rPr>
          <w:b/>
          <w:bCs/>
        </w:rPr>
      </w:pPr>
    </w:p>
    <w:p w14:paraId="44E0BEB7" w14:textId="0A04263E" w:rsidR="003E706A" w:rsidRDefault="003E706A" w:rsidP="005D263F">
      <w:pPr>
        <w:spacing w:after="0"/>
        <w:jc w:val="both"/>
        <w:rPr>
          <w:b/>
          <w:bCs/>
        </w:rPr>
      </w:pPr>
      <w:r w:rsidRPr="00D3207A">
        <w:rPr>
          <w:b/>
          <w:bCs/>
        </w:rPr>
        <w:t>Guideline 15 – Use of market data</w:t>
      </w:r>
    </w:p>
    <w:p w14:paraId="5C3BE0D4" w14:textId="77777777" w:rsidR="00FC3F7B" w:rsidRPr="00D3207A" w:rsidRDefault="00FC3F7B" w:rsidP="005D263F">
      <w:pPr>
        <w:spacing w:after="0"/>
        <w:jc w:val="both"/>
        <w:rPr>
          <w:b/>
          <w:bCs/>
        </w:rPr>
      </w:pPr>
    </w:p>
    <w:p w14:paraId="39F8345F" w14:textId="5BE98C90" w:rsidR="003E706A" w:rsidRPr="00D3207A" w:rsidRDefault="003E706A" w:rsidP="005D263F">
      <w:pPr>
        <w:pStyle w:val="ListParagraph"/>
        <w:numPr>
          <w:ilvl w:val="0"/>
          <w:numId w:val="16"/>
        </w:numPr>
        <w:spacing w:after="0"/>
        <w:jc w:val="both"/>
      </w:pPr>
      <w:r w:rsidRPr="00D3207A">
        <w:t>When valuing liabilities which depend directly on the behaviour of financial markets or in cases where the calculation of technical provisions requires the input of data from an external source, insurance and reinsurance undertakings should be able to demonstrate that external data are more suitable than internal data for the intended purpose. Undertakings should ensure that external data supplied by third parties or market data complement the internal data available.</w:t>
      </w:r>
    </w:p>
    <w:p w14:paraId="3F4508B3" w14:textId="77777777" w:rsidR="00A87F22" w:rsidRPr="00D3207A" w:rsidRDefault="00A87F22" w:rsidP="005D263F">
      <w:pPr>
        <w:pStyle w:val="ListParagraph"/>
        <w:spacing w:after="0"/>
        <w:jc w:val="both"/>
      </w:pPr>
    </w:p>
    <w:p w14:paraId="65F94D07" w14:textId="023D6D70" w:rsidR="003E706A" w:rsidRPr="00D3207A" w:rsidRDefault="003E706A" w:rsidP="005D263F">
      <w:pPr>
        <w:pStyle w:val="ListParagraph"/>
        <w:numPr>
          <w:ilvl w:val="0"/>
          <w:numId w:val="16"/>
        </w:numPr>
        <w:spacing w:after="0"/>
        <w:jc w:val="both"/>
      </w:pPr>
      <w:r w:rsidRPr="00D3207A">
        <w:t>Notwithstanding the level of dependencies of the liabilities on market conditions or the level of quality regarding the available internal data, undertakings should consider relevant external benchmarks where appropriate. External data should be part of the analysis to assess the general compliance with requirements on data quality.</w:t>
      </w:r>
    </w:p>
    <w:p w14:paraId="6B1DC211" w14:textId="77777777" w:rsidR="00400D8B" w:rsidRPr="00D3207A" w:rsidRDefault="00400D8B" w:rsidP="005D263F">
      <w:pPr>
        <w:spacing w:after="0"/>
        <w:jc w:val="both"/>
      </w:pPr>
    </w:p>
    <w:p w14:paraId="280D04D9" w14:textId="66B2AC9A" w:rsidR="003E706A" w:rsidRPr="00D3207A" w:rsidRDefault="003E706A" w:rsidP="005D263F">
      <w:pPr>
        <w:spacing w:after="0"/>
        <w:jc w:val="both"/>
        <w:rPr>
          <w:b/>
          <w:bCs/>
        </w:rPr>
      </w:pPr>
      <w:r w:rsidRPr="00D3207A">
        <w:rPr>
          <w:b/>
          <w:bCs/>
        </w:rPr>
        <w:t xml:space="preserve">Guideline 16 </w:t>
      </w:r>
      <w:r w:rsidR="004C799E" w:rsidRPr="00D3207A">
        <w:rPr>
          <w:b/>
          <w:bCs/>
        </w:rPr>
        <w:t>–</w:t>
      </w:r>
      <w:r w:rsidRPr="00D3207A">
        <w:rPr>
          <w:b/>
          <w:bCs/>
        </w:rPr>
        <w:t xml:space="preserve"> Conditions on market data</w:t>
      </w:r>
    </w:p>
    <w:p w14:paraId="0D829B9D" w14:textId="77777777" w:rsidR="00400D8B" w:rsidRPr="00D3207A" w:rsidRDefault="00400D8B" w:rsidP="005D263F">
      <w:pPr>
        <w:spacing w:after="0"/>
        <w:jc w:val="both"/>
        <w:rPr>
          <w:b/>
          <w:bCs/>
        </w:rPr>
      </w:pPr>
    </w:p>
    <w:p w14:paraId="3D08C60D" w14:textId="106D18A2" w:rsidR="00400D8B" w:rsidRPr="00D3207A" w:rsidRDefault="003E706A" w:rsidP="005D263F">
      <w:pPr>
        <w:pStyle w:val="ListParagraph"/>
        <w:numPr>
          <w:ilvl w:val="0"/>
          <w:numId w:val="17"/>
        </w:numPr>
        <w:spacing w:after="0"/>
        <w:jc w:val="both"/>
      </w:pPr>
      <w:r w:rsidRPr="00D3207A">
        <w:t>To carry out the assessment of the level of accuracy, appropriateness and completeness of external data, insurance and reinsurance undertakings should ensure that the actuarial function knows and considers in its analysis the reliability of the sources of information and the consistency and stability of its process of collecting and publishing information over time.</w:t>
      </w:r>
    </w:p>
    <w:p w14:paraId="63D59294" w14:textId="77777777" w:rsidR="00A87F22" w:rsidRPr="00D3207A" w:rsidRDefault="00A87F22" w:rsidP="005D263F">
      <w:pPr>
        <w:spacing w:after="0"/>
        <w:ind w:left="360"/>
        <w:jc w:val="both"/>
      </w:pPr>
    </w:p>
    <w:p w14:paraId="2ED91526" w14:textId="68AB5F95" w:rsidR="003E706A" w:rsidRPr="00D3207A" w:rsidRDefault="003E706A" w:rsidP="005D263F">
      <w:pPr>
        <w:pStyle w:val="ListParagraph"/>
        <w:numPr>
          <w:ilvl w:val="0"/>
          <w:numId w:val="17"/>
        </w:numPr>
        <w:spacing w:after="0"/>
        <w:jc w:val="both"/>
      </w:pPr>
      <w:r w:rsidRPr="00D3207A">
        <w:t>Moreover, undertakings should ensure that the actuarial function considers all the realistic assumptions and relevant methodologies applied to derive data, including any adjustments or simplifications applied to source data. The actuarial function</w:t>
      </w:r>
      <w:r w:rsidR="006E03C3" w:rsidRPr="00D3207A">
        <w:t xml:space="preserve"> </w:t>
      </w:r>
      <w:r w:rsidRPr="00D3207A">
        <w:t>should</w:t>
      </w:r>
      <w:r w:rsidR="006E03C3" w:rsidRPr="00D3207A">
        <w:t xml:space="preserve"> </w:t>
      </w:r>
      <w:r w:rsidRPr="00D3207A">
        <w:t>be</w:t>
      </w:r>
      <w:r w:rsidR="006E03C3" w:rsidRPr="00D3207A">
        <w:t xml:space="preserve"> </w:t>
      </w:r>
      <w:r w:rsidRPr="00D3207A">
        <w:t>aware</w:t>
      </w:r>
      <w:r w:rsidR="006E03C3" w:rsidRPr="00D3207A">
        <w:t xml:space="preserve"> </w:t>
      </w:r>
      <w:r w:rsidRPr="00D3207A">
        <w:t>of</w:t>
      </w:r>
      <w:r w:rsidR="006E03C3" w:rsidRPr="00D3207A">
        <w:t xml:space="preserve"> </w:t>
      </w:r>
      <w:r w:rsidRPr="00D3207A">
        <w:t>and</w:t>
      </w:r>
      <w:r w:rsidR="006E03C3" w:rsidRPr="00D3207A">
        <w:t xml:space="preserve"> </w:t>
      </w:r>
      <w:r w:rsidRPr="00D3207A">
        <w:t>take</w:t>
      </w:r>
      <w:r w:rsidR="006E03C3" w:rsidRPr="00D3207A">
        <w:t xml:space="preserve"> </w:t>
      </w:r>
      <w:r w:rsidRPr="00D3207A">
        <w:t>into</w:t>
      </w:r>
      <w:r w:rsidR="006E03C3" w:rsidRPr="00D3207A">
        <w:t xml:space="preserve"> </w:t>
      </w:r>
      <w:r w:rsidRPr="00D3207A">
        <w:t>consideration</w:t>
      </w:r>
      <w:r w:rsidR="006E03C3" w:rsidRPr="00D3207A">
        <w:t xml:space="preserve"> </w:t>
      </w:r>
      <w:r w:rsidRPr="00D3207A">
        <w:t>if</w:t>
      </w:r>
      <w:r w:rsidR="006E03C3" w:rsidRPr="00D3207A">
        <w:t xml:space="preserve"> </w:t>
      </w:r>
      <w:r w:rsidRPr="00D3207A">
        <w:t>any</w:t>
      </w:r>
      <w:r w:rsidR="006E03C3" w:rsidRPr="00D3207A">
        <w:t xml:space="preserve"> </w:t>
      </w:r>
      <w:r w:rsidRPr="00D3207A">
        <w:t>changes</w:t>
      </w:r>
      <w:r w:rsidR="006E03C3" w:rsidRPr="00D3207A">
        <w:t xml:space="preserve"> </w:t>
      </w:r>
      <w:r w:rsidRPr="00D3207A">
        <w:t xml:space="preserve">that have been applied over time to </w:t>
      </w:r>
      <w:r w:rsidRPr="00D3207A">
        <w:lastRenderedPageBreak/>
        <w:t>external data, whether those changes relate to assumptions or associated methodologies or any other procedures regarding the collection of external data.</w:t>
      </w:r>
    </w:p>
    <w:p w14:paraId="117EB431" w14:textId="77777777" w:rsidR="0029290F" w:rsidRPr="00D3207A" w:rsidRDefault="0029290F" w:rsidP="005D263F">
      <w:pPr>
        <w:spacing w:after="0"/>
        <w:jc w:val="both"/>
      </w:pPr>
    </w:p>
    <w:p w14:paraId="3C36FD05" w14:textId="31817208" w:rsidR="003E706A" w:rsidRPr="00D3207A" w:rsidRDefault="003E706A" w:rsidP="005D263F">
      <w:pPr>
        <w:pStyle w:val="ListParagraph"/>
        <w:numPr>
          <w:ilvl w:val="0"/>
          <w:numId w:val="17"/>
        </w:numPr>
        <w:spacing w:after="0"/>
        <w:jc w:val="both"/>
      </w:pPr>
      <w:r w:rsidRPr="00D3207A">
        <w:t xml:space="preserve">Moreover, whenever it is accessible and adequate, undertakings should ensure that the actuarial function measures the quality of available data in the context of provisioning analysis in regard to available market data which is deemed comparable, and in particular to the requirements set in </w:t>
      </w:r>
      <w:r w:rsidR="0029290F" w:rsidRPr="00D3207A">
        <w:t>Section</w:t>
      </w:r>
      <w:r w:rsidRPr="00D3207A">
        <w:t xml:space="preserve"> 37(4) of the Insurance Act. Any material deviations should be identified and understood by the actuarial function. This analysis could refer to the specificities of the particular homogeneous risk group being valued.</w:t>
      </w:r>
    </w:p>
    <w:p w14:paraId="77504C63" w14:textId="77777777" w:rsidR="000738AB" w:rsidRPr="00D3207A" w:rsidRDefault="000738AB" w:rsidP="005D263F">
      <w:pPr>
        <w:spacing w:after="0"/>
        <w:jc w:val="both"/>
        <w:rPr>
          <w:b/>
          <w:bCs/>
        </w:rPr>
      </w:pPr>
    </w:p>
    <w:p w14:paraId="24958342" w14:textId="40A04E2E" w:rsidR="003E706A" w:rsidRPr="00D3207A" w:rsidRDefault="003E706A" w:rsidP="005D263F">
      <w:pPr>
        <w:spacing w:after="0"/>
        <w:jc w:val="both"/>
        <w:rPr>
          <w:b/>
          <w:bCs/>
        </w:rPr>
      </w:pPr>
      <w:r w:rsidRPr="00D3207A">
        <w:rPr>
          <w:b/>
          <w:bCs/>
        </w:rPr>
        <w:t>Section 2: Segmentation and unbundling</w:t>
      </w:r>
    </w:p>
    <w:p w14:paraId="057E262E" w14:textId="77777777" w:rsidR="003D243F" w:rsidRDefault="003D243F" w:rsidP="005D263F">
      <w:pPr>
        <w:spacing w:after="0"/>
        <w:jc w:val="both"/>
        <w:rPr>
          <w:b/>
          <w:bCs/>
        </w:rPr>
      </w:pPr>
    </w:p>
    <w:p w14:paraId="263979E8" w14:textId="37A30EDE" w:rsidR="003E706A" w:rsidRPr="00D3207A" w:rsidRDefault="003E706A" w:rsidP="005D263F">
      <w:pPr>
        <w:spacing w:after="0"/>
        <w:jc w:val="both"/>
        <w:rPr>
          <w:b/>
          <w:bCs/>
        </w:rPr>
      </w:pPr>
      <w:r w:rsidRPr="00D3207A">
        <w:rPr>
          <w:b/>
          <w:bCs/>
        </w:rPr>
        <w:t>Guideline</w:t>
      </w:r>
      <w:r w:rsidR="0029290F" w:rsidRPr="00D3207A">
        <w:rPr>
          <w:b/>
          <w:bCs/>
        </w:rPr>
        <w:t xml:space="preserve"> </w:t>
      </w:r>
      <w:r w:rsidRPr="00D3207A">
        <w:rPr>
          <w:b/>
          <w:bCs/>
        </w:rPr>
        <w:t>17</w:t>
      </w:r>
      <w:r w:rsidR="0029290F" w:rsidRPr="00D3207A">
        <w:rPr>
          <w:b/>
          <w:bCs/>
        </w:rPr>
        <w:t xml:space="preserve"> – </w:t>
      </w:r>
      <w:r w:rsidRPr="00D3207A">
        <w:rPr>
          <w:b/>
          <w:bCs/>
        </w:rPr>
        <w:t>Segmentation</w:t>
      </w:r>
      <w:r w:rsidR="0029290F" w:rsidRPr="00D3207A">
        <w:rPr>
          <w:b/>
          <w:bCs/>
        </w:rPr>
        <w:t xml:space="preserve"> </w:t>
      </w:r>
      <w:r w:rsidRPr="00D3207A">
        <w:rPr>
          <w:b/>
          <w:bCs/>
        </w:rPr>
        <w:t>of</w:t>
      </w:r>
      <w:r w:rsidR="0029290F" w:rsidRPr="00D3207A">
        <w:rPr>
          <w:b/>
          <w:bCs/>
        </w:rPr>
        <w:t xml:space="preserve"> </w:t>
      </w:r>
      <w:r w:rsidRPr="00D3207A">
        <w:rPr>
          <w:b/>
          <w:bCs/>
        </w:rPr>
        <w:t>insurance</w:t>
      </w:r>
      <w:r w:rsidR="0029290F" w:rsidRPr="00D3207A">
        <w:rPr>
          <w:b/>
          <w:bCs/>
        </w:rPr>
        <w:t xml:space="preserve"> </w:t>
      </w:r>
      <w:r w:rsidRPr="00D3207A">
        <w:rPr>
          <w:b/>
          <w:bCs/>
        </w:rPr>
        <w:t>or</w:t>
      </w:r>
      <w:r w:rsidR="0029290F" w:rsidRPr="00D3207A">
        <w:rPr>
          <w:b/>
          <w:bCs/>
        </w:rPr>
        <w:t xml:space="preserve"> </w:t>
      </w:r>
      <w:r w:rsidRPr="00D3207A">
        <w:rPr>
          <w:b/>
          <w:bCs/>
        </w:rPr>
        <w:t>reinsurance</w:t>
      </w:r>
      <w:r w:rsidR="0029290F" w:rsidRPr="00D3207A">
        <w:rPr>
          <w:b/>
          <w:bCs/>
        </w:rPr>
        <w:t xml:space="preserve"> </w:t>
      </w:r>
      <w:r w:rsidRPr="00D3207A">
        <w:rPr>
          <w:b/>
          <w:bCs/>
        </w:rPr>
        <w:t>obligations stemming from health and other non-life insurance contracts</w:t>
      </w:r>
    </w:p>
    <w:p w14:paraId="0B7FC6A8" w14:textId="77777777" w:rsidR="0078079C" w:rsidRPr="00D3207A" w:rsidRDefault="0078079C" w:rsidP="005D263F">
      <w:pPr>
        <w:spacing w:after="0"/>
        <w:jc w:val="both"/>
        <w:rPr>
          <w:b/>
          <w:bCs/>
        </w:rPr>
      </w:pPr>
    </w:p>
    <w:p w14:paraId="2E5621CB" w14:textId="00F2925F" w:rsidR="003E706A" w:rsidRPr="00D3207A" w:rsidRDefault="003E706A" w:rsidP="005D263F">
      <w:pPr>
        <w:pStyle w:val="ListParagraph"/>
        <w:numPr>
          <w:ilvl w:val="0"/>
          <w:numId w:val="18"/>
        </w:numPr>
        <w:spacing w:after="0"/>
        <w:jc w:val="both"/>
      </w:pPr>
      <w:r w:rsidRPr="00D3207A">
        <w:t>Insurance and reinsurance undertakings should ensure that insurance or reinsurance obligations stemming from health and other non-life insurance contracts should be segmented to life lines of business where such obligations are exposed to biometrical risks (i.e. mortality, longevity or disability or morbidity) and where the common techniques that are used to assess such obligations explicitly take into consideration the behaviour of the variables underlying these risks.</w:t>
      </w:r>
    </w:p>
    <w:p w14:paraId="74E5EE25" w14:textId="77777777" w:rsidR="00A87F22" w:rsidRPr="00D3207A" w:rsidRDefault="00A87F22" w:rsidP="005D263F">
      <w:pPr>
        <w:pStyle w:val="ListParagraph"/>
        <w:spacing w:after="0"/>
        <w:jc w:val="both"/>
      </w:pPr>
    </w:p>
    <w:p w14:paraId="3AD91AAD" w14:textId="41D47276" w:rsidR="003E706A" w:rsidRPr="00D3207A" w:rsidRDefault="003E706A" w:rsidP="005D263F">
      <w:pPr>
        <w:pStyle w:val="ListParagraph"/>
        <w:numPr>
          <w:ilvl w:val="0"/>
          <w:numId w:val="18"/>
        </w:numPr>
        <w:spacing w:after="0"/>
        <w:jc w:val="both"/>
      </w:pPr>
      <w:r w:rsidRPr="00D3207A">
        <w:t xml:space="preserve">Where health insurance or reinsurance obligations are calculated according to the conditions set out in Article 206 of </w:t>
      </w:r>
      <w:r w:rsidR="0028755A">
        <w:t xml:space="preserve">the </w:t>
      </w:r>
      <w:r w:rsidRPr="00D3207A">
        <w:t>Solvency II</w:t>
      </w:r>
      <w:r w:rsidR="0028755A">
        <w:t xml:space="preserve"> Directive</w:t>
      </w:r>
      <w:r w:rsidRPr="00D3207A">
        <w:t>, insurance and reinsurance undertakings should ensure that these obligations are considered to be pursued on a similar technical basis to that of life insurance and therefore assigned to life lines of business.</w:t>
      </w:r>
    </w:p>
    <w:p w14:paraId="5A885EA2" w14:textId="77777777" w:rsidR="0078079C" w:rsidRPr="00D3207A" w:rsidRDefault="0078079C" w:rsidP="005D263F">
      <w:pPr>
        <w:spacing w:after="0"/>
        <w:jc w:val="both"/>
      </w:pPr>
    </w:p>
    <w:p w14:paraId="19268DB2" w14:textId="44EBDFF4" w:rsidR="003E706A" w:rsidRPr="00D3207A" w:rsidRDefault="003E706A" w:rsidP="005D263F">
      <w:pPr>
        <w:spacing w:after="0"/>
        <w:jc w:val="both"/>
        <w:rPr>
          <w:b/>
          <w:bCs/>
        </w:rPr>
      </w:pPr>
      <w:r w:rsidRPr="00D3207A">
        <w:rPr>
          <w:b/>
          <w:bCs/>
        </w:rPr>
        <w:t>Guideline</w:t>
      </w:r>
      <w:r w:rsidR="0029290F" w:rsidRPr="00D3207A">
        <w:rPr>
          <w:b/>
          <w:bCs/>
        </w:rPr>
        <w:t xml:space="preserve"> </w:t>
      </w:r>
      <w:r w:rsidRPr="00D3207A">
        <w:rPr>
          <w:b/>
          <w:bCs/>
        </w:rPr>
        <w:t>18</w:t>
      </w:r>
      <w:r w:rsidR="0029290F" w:rsidRPr="00D3207A">
        <w:rPr>
          <w:b/>
          <w:bCs/>
        </w:rPr>
        <w:t xml:space="preserve"> – </w:t>
      </w:r>
      <w:r w:rsidRPr="00D3207A">
        <w:rPr>
          <w:b/>
          <w:bCs/>
        </w:rPr>
        <w:t>Change</w:t>
      </w:r>
      <w:r w:rsidR="0029290F" w:rsidRPr="00D3207A">
        <w:rPr>
          <w:b/>
          <w:bCs/>
        </w:rPr>
        <w:t xml:space="preserve"> </w:t>
      </w:r>
      <w:r w:rsidRPr="00D3207A">
        <w:rPr>
          <w:b/>
          <w:bCs/>
        </w:rPr>
        <w:t>in</w:t>
      </w:r>
      <w:r w:rsidR="0029290F" w:rsidRPr="00D3207A">
        <w:rPr>
          <w:b/>
          <w:bCs/>
        </w:rPr>
        <w:t xml:space="preserve"> </w:t>
      </w:r>
      <w:r w:rsidRPr="00D3207A">
        <w:rPr>
          <w:b/>
          <w:bCs/>
        </w:rPr>
        <w:t>the</w:t>
      </w:r>
      <w:r w:rsidR="0029290F" w:rsidRPr="00D3207A">
        <w:rPr>
          <w:b/>
          <w:bCs/>
        </w:rPr>
        <w:t xml:space="preserve"> </w:t>
      </w:r>
      <w:r w:rsidRPr="00D3207A">
        <w:rPr>
          <w:b/>
          <w:bCs/>
        </w:rPr>
        <w:t>segmentation</w:t>
      </w:r>
      <w:r w:rsidR="0029290F" w:rsidRPr="00D3207A">
        <w:rPr>
          <w:b/>
          <w:bCs/>
        </w:rPr>
        <w:t xml:space="preserve"> </w:t>
      </w:r>
      <w:r w:rsidRPr="00D3207A">
        <w:rPr>
          <w:b/>
          <w:bCs/>
        </w:rPr>
        <w:t>of</w:t>
      </w:r>
      <w:r w:rsidR="0029290F" w:rsidRPr="00D3207A">
        <w:rPr>
          <w:b/>
          <w:bCs/>
        </w:rPr>
        <w:t xml:space="preserve"> </w:t>
      </w:r>
      <w:r w:rsidRPr="00D3207A">
        <w:rPr>
          <w:b/>
          <w:bCs/>
        </w:rPr>
        <w:t>non-life</w:t>
      </w:r>
      <w:r w:rsidR="0029290F" w:rsidRPr="00D3207A">
        <w:rPr>
          <w:b/>
          <w:bCs/>
        </w:rPr>
        <w:t xml:space="preserve"> </w:t>
      </w:r>
      <w:r w:rsidRPr="00D3207A">
        <w:rPr>
          <w:b/>
          <w:bCs/>
        </w:rPr>
        <w:t>insurance</w:t>
      </w:r>
      <w:r w:rsidR="0029290F" w:rsidRPr="00D3207A">
        <w:rPr>
          <w:b/>
          <w:bCs/>
        </w:rPr>
        <w:t xml:space="preserve"> </w:t>
      </w:r>
      <w:r w:rsidRPr="00D3207A">
        <w:rPr>
          <w:b/>
          <w:bCs/>
        </w:rPr>
        <w:t>or reinsurance obligations</w:t>
      </w:r>
    </w:p>
    <w:p w14:paraId="3C5C4A5D" w14:textId="77777777" w:rsidR="0078079C" w:rsidRPr="00D3207A" w:rsidRDefault="0078079C" w:rsidP="005D263F">
      <w:pPr>
        <w:spacing w:after="0"/>
        <w:jc w:val="both"/>
        <w:rPr>
          <w:b/>
          <w:bCs/>
        </w:rPr>
      </w:pPr>
    </w:p>
    <w:p w14:paraId="6B042B8F" w14:textId="0B90F856" w:rsidR="003E706A" w:rsidRPr="00D3207A" w:rsidRDefault="003E706A" w:rsidP="005D263F">
      <w:pPr>
        <w:spacing w:after="0"/>
        <w:ind w:left="708"/>
        <w:jc w:val="both"/>
      </w:pPr>
      <w:r w:rsidRPr="00D3207A">
        <w:t>Insurance and reinsurance undertakings should ensure that insurance or reinsurance obligations that were originally segmented into non-life lines of business and, as a result of the occurrence of an insured event turn into life insurance or reinsurance obligations, should be assessed using life techniques that explicitly take into consideration the behaviour of the variables underlying biometrical risks and assigned to the relevant life lines of business as soon as there is sufficient information to assess those obligations using life techniques.</w:t>
      </w:r>
    </w:p>
    <w:p w14:paraId="20DCE852" w14:textId="77777777" w:rsidR="0078079C" w:rsidRPr="00D3207A" w:rsidRDefault="0078079C" w:rsidP="005D263F">
      <w:pPr>
        <w:spacing w:after="0"/>
        <w:jc w:val="both"/>
      </w:pPr>
    </w:p>
    <w:p w14:paraId="4043F60E" w14:textId="54373A18" w:rsidR="003E706A" w:rsidRPr="00D3207A" w:rsidRDefault="003E706A" w:rsidP="005D263F">
      <w:pPr>
        <w:spacing w:after="0"/>
        <w:jc w:val="both"/>
        <w:rPr>
          <w:b/>
          <w:bCs/>
        </w:rPr>
      </w:pPr>
      <w:r w:rsidRPr="00D3207A">
        <w:rPr>
          <w:b/>
          <w:bCs/>
        </w:rPr>
        <w:t xml:space="preserve">Guideline 19 </w:t>
      </w:r>
      <w:r w:rsidR="00FA1007">
        <w:rPr>
          <w:b/>
          <w:bCs/>
        </w:rPr>
        <w:t>–</w:t>
      </w:r>
      <w:r w:rsidRPr="00D3207A">
        <w:rPr>
          <w:b/>
          <w:bCs/>
        </w:rPr>
        <w:t xml:space="preserve"> Determining and assessing appropriateness of a homogeneous risk group</w:t>
      </w:r>
    </w:p>
    <w:p w14:paraId="5CD7C01C" w14:textId="77777777" w:rsidR="00827771" w:rsidRPr="00D3207A" w:rsidRDefault="00827771" w:rsidP="005D263F">
      <w:pPr>
        <w:spacing w:after="0"/>
        <w:jc w:val="both"/>
        <w:rPr>
          <w:b/>
          <w:bCs/>
        </w:rPr>
      </w:pPr>
    </w:p>
    <w:p w14:paraId="53E9013E" w14:textId="0F6BA2A0" w:rsidR="003E706A" w:rsidRPr="00D3207A" w:rsidRDefault="003E706A" w:rsidP="005D263F">
      <w:pPr>
        <w:pStyle w:val="ListParagraph"/>
        <w:numPr>
          <w:ilvl w:val="0"/>
          <w:numId w:val="20"/>
        </w:numPr>
        <w:spacing w:after="0"/>
        <w:jc w:val="both"/>
      </w:pPr>
      <w:r w:rsidRPr="00D3207A">
        <w:t>Insurance and reinsurance undertakings should calculate technical provisions using homogeneous risk groups in order to derive assumptions.</w:t>
      </w:r>
    </w:p>
    <w:p w14:paraId="2F4A9EFB" w14:textId="77777777" w:rsidR="00742783" w:rsidRPr="00D3207A" w:rsidRDefault="00742783" w:rsidP="005D263F">
      <w:pPr>
        <w:pStyle w:val="ListParagraph"/>
        <w:spacing w:after="0"/>
        <w:jc w:val="both"/>
      </w:pPr>
    </w:p>
    <w:p w14:paraId="58C10C66" w14:textId="1ADD54BD" w:rsidR="003E706A" w:rsidRPr="00D3207A" w:rsidRDefault="003E706A" w:rsidP="005D263F">
      <w:pPr>
        <w:pStyle w:val="ListParagraph"/>
        <w:numPr>
          <w:ilvl w:val="0"/>
          <w:numId w:val="20"/>
        </w:numPr>
        <w:spacing w:after="0"/>
        <w:jc w:val="both"/>
      </w:pPr>
      <w:r w:rsidRPr="00D3207A">
        <w:t>A homogeneous risk group encompasses a collection of policies with similar risk characteristics. In selecting a homogeneous risk group, undertakings should achieve an appropriate balance between the credibility of data available, to enable</w:t>
      </w:r>
      <w:r w:rsidR="006E03C3" w:rsidRPr="00D3207A">
        <w:t xml:space="preserve"> </w:t>
      </w:r>
      <w:r w:rsidRPr="00D3207A">
        <w:t>reliable</w:t>
      </w:r>
      <w:r w:rsidR="006E03C3" w:rsidRPr="00D3207A">
        <w:t xml:space="preserve"> </w:t>
      </w:r>
      <w:r w:rsidRPr="00D3207A">
        <w:lastRenderedPageBreak/>
        <w:t>statistical</w:t>
      </w:r>
      <w:r w:rsidR="006E03C3" w:rsidRPr="00D3207A">
        <w:t xml:space="preserve"> </w:t>
      </w:r>
      <w:r w:rsidRPr="00D3207A">
        <w:t>analyses to be performed, and the homogeneity of risk characteristics within the group. Undertakings should define homogeneous risk groups in such a manner that those are expected to be reasonably stable over time.</w:t>
      </w:r>
    </w:p>
    <w:p w14:paraId="2A20F197" w14:textId="77777777" w:rsidR="00A87F22" w:rsidRPr="00D3207A" w:rsidRDefault="00A87F22" w:rsidP="005D263F">
      <w:pPr>
        <w:pStyle w:val="ListParagraph"/>
        <w:spacing w:after="0"/>
      </w:pPr>
    </w:p>
    <w:p w14:paraId="4BCD9E42" w14:textId="7F56C25B" w:rsidR="003E706A" w:rsidRPr="00D3207A" w:rsidRDefault="003E706A" w:rsidP="005D263F">
      <w:pPr>
        <w:pStyle w:val="ListParagraph"/>
        <w:numPr>
          <w:ilvl w:val="0"/>
          <w:numId w:val="20"/>
        </w:numPr>
        <w:spacing w:after="0"/>
        <w:jc w:val="both"/>
      </w:pPr>
      <w:r w:rsidRPr="00D3207A">
        <w:t>Where necessary, undertakings should for the derivation of risks inter alia take into account the following items:</w:t>
      </w:r>
    </w:p>
    <w:p w14:paraId="2A3D2AB6" w14:textId="3726F1A1" w:rsidR="003E706A" w:rsidRPr="00D3207A" w:rsidRDefault="003E706A" w:rsidP="005D263F">
      <w:pPr>
        <w:pStyle w:val="ListParagraph"/>
        <w:numPr>
          <w:ilvl w:val="1"/>
          <w:numId w:val="20"/>
        </w:numPr>
        <w:spacing w:after="0"/>
        <w:ind w:left="993" w:hanging="284"/>
        <w:jc w:val="both"/>
      </w:pPr>
      <w:r w:rsidRPr="00D3207A">
        <w:t>underwriting policy</w:t>
      </w:r>
      <w:r w:rsidR="00E561EC" w:rsidRPr="00D3207A">
        <w:t>;</w:t>
      </w:r>
    </w:p>
    <w:p w14:paraId="079C5A2B" w14:textId="506C86ED" w:rsidR="003E706A" w:rsidRPr="00D3207A" w:rsidRDefault="003E706A" w:rsidP="005D263F">
      <w:pPr>
        <w:pStyle w:val="ListParagraph"/>
        <w:numPr>
          <w:ilvl w:val="1"/>
          <w:numId w:val="20"/>
        </w:numPr>
        <w:spacing w:after="0"/>
        <w:ind w:left="993" w:hanging="284"/>
        <w:jc w:val="both"/>
      </w:pPr>
      <w:r w:rsidRPr="00D3207A">
        <w:t>claims settlement pattern</w:t>
      </w:r>
      <w:r w:rsidR="00E561EC" w:rsidRPr="00D3207A">
        <w:t>;</w:t>
      </w:r>
    </w:p>
    <w:p w14:paraId="143BD321" w14:textId="6B799C67" w:rsidR="003E706A" w:rsidRPr="00D3207A" w:rsidRDefault="003E706A" w:rsidP="005D263F">
      <w:pPr>
        <w:pStyle w:val="ListParagraph"/>
        <w:numPr>
          <w:ilvl w:val="1"/>
          <w:numId w:val="20"/>
        </w:numPr>
        <w:spacing w:after="0"/>
        <w:ind w:left="993" w:hanging="284"/>
        <w:jc w:val="both"/>
      </w:pPr>
      <w:r w:rsidRPr="00D3207A">
        <w:t>risk profile of policyholders</w:t>
      </w:r>
      <w:r w:rsidR="00E561EC" w:rsidRPr="00D3207A">
        <w:t>;</w:t>
      </w:r>
    </w:p>
    <w:p w14:paraId="561F529B" w14:textId="3B04FB3C" w:rsidR="003E706A" w:rsidRPr="00D3207A" w:rsidRDefault="003B669B" w:rsidP="005D263F">
      <w:pPr>
        <w:pStyle w:val="ListParagraph"/>
        <w:numPr>
          <w:ilvl w:val="1"/>
          <w:numId w:val="20"/>
        </w:numPr>
        <w:spacing w:after="0"/>
        <w:ind w:left="993" w:hanging="284"/>
        <w:jc w:val="both"/>
      </w:pPr>
      <w:r w:rsidRPr="00D3207A">
        <w:t>product features, in particular guarantees</w:t>
      </w:r>
      <w:r w:rsidR="00E561EC" w:rsidRPr="00D3207A">
        <w:t>;</w:t>
      </w:r>
    </w:p>
    <w:p w14:paraId="0AB0F84D" w14:textId="5385BA04" w:rsidR="003E706A" w:rsidRPr="00D3207A" w:rsidRDefault="003E706A" w:rsidP="005D263F">
      <w:pPr>
        <w:pStyle w:val="ListParagraph"/>
        <w:numPr>
          <w:ilvl w:val="1"/>
          <w:numId w:val="20"/>
        </w:numPr>
        <w:spacing w:after="0"/>
        <w:ind w:left="993" w:hanging="284"/>
        <w:jc w:val="both"/>
      </w:pPr>
      <w:r w:rsidRPr="00D3207A">
        <w:t>future management actions.</w:t>
      </w:r>
    </w:p>
    <w:p w14:paraId="4C3E0298" w14:textId="77777777" w:rsidR="00A87F22" w:rsidRPr="00D3207A" w:rsidRDefault="00A87F22" w:rsidP="005D263F">
      <w:pPr>
        <w:pStyle w:val="ListParagraph"/>
        <w:spacing w:after="0"/>
        <w:ind w:left="1440"/>
        <w:jc w:val="both"/>
      </w:pPr>
    </w:p>
    <w:p w14:paraId="7520917F" w14:textId="1E0B82D7" w:rsidR="003E706A" w:rsidRPr="00D3207A" w:rsidRDefault="003E706A" w:rsidP="005D263F">
      <w:pPr>
        <w:pStyle w:val="ListParagraph"/>
        <w:numPr>
          <w:ilvl w:val="0"/>
          <w:numId w:val="20"/>
        </w:numPr>
        <w:spacing w:after="0"/>
        <w:jc w:val="both"/>
      </w:pPr>
      <w:r w:rsidRPr="00D3207A">
        <w:t xml:space="preserve">Undertakings should ensure consistency between the homogeneous risk groups it uses to assess its </w:t>
      </w:r>
      <w:r w:rsidR="00E561EC" w:rsidRPr="00D3207A">
        <w:t xml:space="preserve">gross of </w:t>
      </w:r>
      <w:r w:rsidRPr="00D3207A">
        <w:t>reinsurance</w:t>
      </w:r>
      <w:r w:rsidR="006E03C3" w:rsidRPr="00D3207A">
        <w:t xml:space="preserve"> </w:t>
      </w:r>
      <w:r w:rsidRPr="00D3207A">
        <w:t>technical</w:t>
      </w:r>
      <w:r w:rsidR="006E03C3" w:rsidRPr="00D3207A">
        <w:t xml:space="preserve"> </w:t>
      </w:r>
      <w:r w:rsidRPr="00D3207A">
        <w:t>provisions and its reinsurance recoverables.</w:t>
      </w:r>
    </w:p>
    <w:p w14:paraId="2E3C50E5" w14:textId="77777777" w:rsidR="00F26729" w:rsidRPr="00D3207A" w:rsidRDefault="00F26729" w:rsidP="005D263F">
      <w:pPr>
        <w:spacing w:after="0"/>
        <w:jc w:val="both"/>
      </w:pPr>
    </w:p>
    <w:p w14:paraId="7D7ABC87" w14:textId="3E58BD40" w:rsidR="003E706A" w:rsidRPr="00D3207A" w:rsidRDefault="003E706A" w:rsidP="005D263F">
      <w:pPr>
        <w:spacing w:after="0"/>
        <w:jc w:val="both"/>
        <w:rPr>
          <w:b/>
          <w:bCs/>
        </w:rPr>
      </w:pPr>
      <w:r w:rsidRPr="00D3207A">
        <w:rPr>
          <w:b/>
          <w:bCs/>
        </w:rPr>
        <w:t xml:space="preserve">Guideline 20 </w:t>
      </w:r>
      <w:r w:rsidR="00E561EC" w:rsidRPr="00D3207A">
        <w:rPr>
          <w:b/>
          <w:bCs/>
        </w:rPr>
        <w:t>–</w:t>
      </w:r>
      <w:r w:rsidRPr="00D3207A">
        <w:rPr>
          <w:b/>
          <w:bCs/>
        </w:rPr>
        <w:t xml:space="preserve"> Calculations at the level of grouped policies</w:t>
      </w:r>
    </w:p>
    <w:p w14:paraId="4E200B34" w14:textId="77777777" w:rsidR="00CB4D80" w:rsidRPr="00D3207A" w:rsidRDefault="00CB4D80" w:rsidP="005D263F">
      <w:pPr>
        <w:spacing w:after="0"/>
        <w:jc w:val="both"/>
        <w:rPr>
          <w:b/>
          <w:bCs/>
        </w:rPr>
      </w:pPr>
    </w:p>
    <w:p w14:paraId="2D89F924" w14:textId="163DA405" w:rsidR="003E706A" w:rsidRPr="00D3207A" w:rsidRDefault="003E706A" w:rsidP="005D263F">
      <w:pPr>
        <w:pStyle w:val="ListParagraph"/>
        <w:spacing w:after="0"/>
        <w:jc w:val="both"/>
      </w:pPr>
      <w:r w:rsidRPr="00D3207A">
        <w:t>In order to calculate the technical provisions and carry out cash-flow projections, insurance and reinsurance undertakings should apply the assumptions derived at the level of homogeneous risk groups to individual policies or grouped policies, where the groupings may be more granular than homogeneous risk groups.</w:t>
      </w:r>
    </w:p>
    <w:p w14:paraId="25CC7E8B" w14:textId="77777777" w:rsidR="00CB4D80" w:rsidRPr="00D3207A" w:rsidRDefault="00CB4D80" w:rsidP="005D263F">
      <w:pPr>
        <w:spacing w:after="0"/>
        <w:jc w:val="both"/>
      </w:pPr>
    </w:p>
    <w:p w14:paraId="06D2C23A" w14:textId="0C7290E9" w:rsidR="003E706A" w:rsidRPr="00D3207A" w:rsidRDefault="003E706A" w:rsidP="005D263F">
      <w:pPr>
        <w:spacing w:after="0"/>
        <w:jc w:val="both"/>
        <w:rPr>
          <w:b/>
          <w:bCs/>
        </w:rPr>
      </w:pPr>
      <w:r w:rsidRPr="00D3207A">
        <w:rPr>
          <w:b/>
          <w:bCs/>
        </w:rPr>
        <w:t xml:space="preserve">Guideline 21 </w:t>
      </w:r>
      <w:r w:rsidR="00FA1007">
        <w:rPr>
          <w:b/>
          <w:bCs/>
        </w:rPr>
        <w:t>–</w:t>
      </w:r>
      <w:r w:rsidRPr="00D3207A">
        <w:rPr>
          <w:b/>
          <w:bCs/>
        </w:rPr>
        <w:t xml:space="preserve"> Unbundling of insurance or reinsurance contracts covering multiple risks</w:t>
      </w:r>
    </w:p>
    <w:p w14:paraId="2AFE6611" w14:textId="77777777" w:rsidR="00CB4D80" w:rsidRPr="00D3207A" w:rsidRDefault="00CB4D80" w:rsidP="005D263F">
      <w:pPr>
        <w:spacing w:after="0"/>
        <w:jc w:val="both"/>
        <w:rPr>
          <w:b/>
          <w:bCs/>
        </w:rPr>
      </w:pPr>
    </w:p>
    <w:p w14:paraId="70FAB1DD" w14:textId="73421DD8" w:rsidR="003E706A" w:rsidRPr="00D3207A" w:rsidRDefault="003E706A" w:rsidP="005D263F">
      <w:pPr>
        <w:pStyle w:val="ListParagraph"/>
        <w:spacing w:after="0"/>
        <w:jc w:val="both"/>
      </w:pPr>
      <w:r w:rsidRPr="00D3207A">
        <w:t>Where an insurance or reinsurance contract covers risks across different lines of business, unbundling of the obligations is not required where only one of the risks covered by the contract is material. In this case, the obligations relating to the contract should be segmented according to the major risk driver.</w:t>
      </w:r>
    </w:p>
    <w:p w14:paraId="3D61662C" w14:textId="77777777" w:rsidR="00CB4D80" w:rsidRPr="00D3207A" w:rsidRDefault="00CB4D80" w:rsidP="005D263F">
      <w:pPr>
        <w:spacing w:after="0"/>
        <w:jc w:val="both"/>
      </w:pPr>
    </w:p>
    <w:p w14:paraId="5C864E44" w14:textId="4243C9BE" w:rsidR="003E706A" w:rsidRPr="00D3207A" w:rsidRDefault="003E706A" w:rsidP="005D263F">
      <w:pPr>
        <w:spacing w:after="0"/>
        <w:jc w:val="both"/>
        <w:rPr>
          <w:b/>
          <w:bCs/>
        </w:rPr>
      </w:pPr>
      <w:r w:rsidRPr="00D3207A">
        <w:rPr>
          <w:b/>
          <w:bCs/>
        </w:rPr>
        <w:t xml:space="preserve">Guideline 22 </w:t>
      </w:r>
      <w:r w:rsidR="00E561EC" w:rsidRPr="00D3207A">
        <w:rPr>
          <w:b/>
          <w:bCs/>
        </w:rPr>
        <w:t>–</w:t>
      </w:r>
      <w:r w:rsidRPr="00D3207A">
        <w:rPr>
          <w:b/>
          <w:bCs/>
        </w:rPr>
        <w:t xml:space="preserve"> Granularity of segmentation</w:t>
      </w:r>
    </w:p>
    <w:p w14:paraId="1E788D18" w14:textId="77777777" w:rsidR="00CB4D80" w:rsidRPr="00D3207A" w:rsidRDefault="00CB4D80" w:rsidP="005D263F">
      <w:pPr>
        <w:spacing w:after="0"/>
        <w:jc w:val="both"/>
        <w:rPr>
          <w:b/>
          <w:bCs/>
        </w:rPr>
      </w:pPr>
    </w:p>
    <w:p w14:paraId="438A2D96" w14:textId="7A66788C" w:rsidR="003E706A" w:rsidRPr="00D3207A" w:rsidRDefault="003E706A" w:rsidP="005D263F">
      <w:pPr>
        <w:pStyle w:val="ListParagraph"/>
        <w:spacing w:after="0"/>
        <w:jc w:val="both"/>
      </w:pPr>
      <w:r w:rsidRPr="00D3207A">
        <w:t>Insurance and reinsurance undertakings should analyse whether the granularity of the segmentation of insurance or reinsurance obligations adequately reflects the nature of the risks. This segmentation</w:t>
      </w:r>
      <w:r w:rsidR="006E03C3" w:rsidRPr="00D3207A">
        <w:t xml:space="preserve"> </w:t>
      </w:r>
      <w:r w:rsidRPr="00D3207A">
        <w:t>should</w:t>
      </w:r>
      <w:r w:rsidR="006E03C3" w:rsidRPr="00D3207A">
        <w:t xml:space="preserve"> </w:t>
      </w:r>
      <w:r w:rsidRPr="00D3207A">
        <w:t>consider</w:t>
      </w:r>
      <w:r w:rsidR="006E03C3" w:rsidRPr="00D3207A">
        <w:t xml:space="preserve"> </w:t>
      </w:r>
      <w:r w:rsidRPr="00D3207A">
        <w:t>the</w:t>
      </w:r>
      <w:r w:rsidR="006E03C3" w:rsidRPr="00D3207A">
        <w:t xml:space="preserve"> </w:t>
      </w:r>
      <w:r w:rsidRPr="00D3207A">
        <w:t>policyholder’s right to profit participation, options and guarantees embedded in the contracts and the relevant risk drivers of the obligations.</w:t>
      </w:r>
    </w:p>
    <w:p w14:paraId="523BB9A8" w14:textId="77777777" w:rsidR="00CB4D80" w:rsidRPr="00D3207A" w:rsidRDefault="00CB4D80" w:rsidP="005D263F">
      <w:pPr>
        <w:spacing w:after="0"/>
        <w:jc w:val="both"/>
      </w:pPr>
    </w:p>
    <w:p w14:paraId="50D5E1CE" w14:textId="5D996CC3" w:rsidR="003E706A" w:rsidRPr="00D3207A" w:rsidRDefault="003E706A" w:rsidP="005D263F">
      <w:pPr>
        <w:spacing w:after="0"/>
        <w:jc w:val="both"/>
        <w:rPr>
          <w:b/>
          <w:bCs/>
        </w:rPr>
      </w:pPr>
      <w:r w:rsidRPr="00D3207A">
        <w:rPr>
          <w:b/>
          <w:bCs/>
        </w:rPr>
        <w:t>Guideline 23 – Segmentation in respect of premium provisions and claims provisions</w:t>
      </w:r>
    </w:p>
    <w:p w14:paraId="61EE5A84" w14:textId="77777777" w:rsidR="00CB4D80" w:rsidRPr="00D3207A" w:rsidRDefault="00CB4D80" w:rsidP="005D263F">
      <w:pPr>
        <w:spacing w:after="0"/>
        <w:jc w:val="both"/>
        <w:rPr>
          <w:b/>
          <w:bCs/>
        </w:rPr>
      </w:pPr>
    </w:p>
    <w:p w14:paraId="00A73C31" w14:textId="75368A90" w:rsidR="003E706A" w:rsidRPr="00D3207A" w:rsidRDefault="003E706A" w:rsidP="005D263F">
      <w:pPr>
        <w:pStyle w:val="ListParagraph"/>
        <w:spacing w:after="0"/>
        <w:jc w:val="both"/>
      </w:pPr>
      <w:r w:rsidRPr="00D3207A">
        <w:t>Insurance and reinsurance undertakings should consider both the nature of the underlying risks being evaluated together and the quality of data in selecting the homogeneous risk groups for the</w:t>
      </w:r>
      <w:r w:rsidR="006E03C3" w:rsidRPr="00D3207A">
        <w:t xml:space="preserve"> </w:t>
      </w:r>
      <w:r w:rsidRPr="00D3207A">
        <w:t>calculations</w:t>
      </w:r>
      <w:r w:rsidR="006E03C3" w:rsidRPr="00D3207A">
        <w:t xml:space="preserve"> </w:t>
      </w:r>
      <w:r w:rsidRPr="00D3207A">
        <w:t>of</w:t>
      </w:r>
      <w:r w:rsidR="006E03C3" w:rsidRPr="00D3207A">
        <w:t xml:space="preserve"> </w:t>
      </w:r>
      <w:r w:rsidRPr="00D3207A">
        <w:t>the</w:t>
      </w:r>
      <w:r w:rsidR="006E03C3" w:rsidRPr="00D3207A">
        <w:t xml:space="preserve"> </w:t>
      </w:r>
      <w:r w:rsidRPr="00D3207A">
        <w:t>premium</w:t>
      </w:r>
      <w:r w:rsidR="006E03C3" w:rsidRPr="00D3207A">
        <w:t xml:space="preserve"> </w:t>
      </w:r>
      <w:r w:rsidRPr="00D3207A">
        <w:t>provisions and claims provisions.</w:t>
      </w:r>
    </w:p>
    <w:p w14:paraId="317D4AE9" w14:textId="77777777" w:rsidR="003D243F" w:rsidRDefault="003D243F" w:rsidP="005D263F">
      <w:pPr>
        <w:spacing w:after="0"/>
        <w:rPr>
          <w:b/>
          <w:bCs/>
        </w:rPr>
      </w:pPr>
    </w:p>
    <w:p w14:paraId="27B8A632" w14:textId="310BEC84" w:rsidR="003E706A" w:rsidRPr="00D3207A" w:rsidRDefault="003E706A" w:rsidP="005D263F">
      <w:pPr>
        <w:spacing w:after="0"/>
        <w:rPr>
          <w:b/>
          <w:bCs/>
        </w:rPr>
      </w:pPr>
      <w:r w:rsidRPr="00D3207A">
        <w:rPr>
          <w:b/>
          <w:bCs/>
        </w:rPr>
        <w:t>Section 3: Assumptions</w:t>
      </w:r>
    </w:p>
    <w:p w14:paraId="26660AE7" w14:textId="77777777" w:rsidR="003D243F" w:rsidRDefault="003D243F" w:rsidP="005D263F">
      <w:pPr>
        <w:spacing w:after="0"/>
        <w:jc w:val="both"/>
        <w:rPr>
          <w:b/>
          <w:bCs/>
        </w:rPr>
      </w:pPr>
    </w:p>
    <w:p w14:paraId="71CC8C7D" w14:textId="538B69C8" w:rsidR="003E706A" w:rsidRPr="00D3207A" w:rsidRDefault="003E706A" w:rsidP="005D263F">
      <w:pPr>
        <w:spacing w:after="0"/>
        <w:jc w:val="both"/>
        <w:rPr>
          <w:b/>
          <w:bCs/>
        </w:rPr>
      </w:pPr>
      <w:r w:rsidRPr="00D3207A">
        <w:rPr>
          <w:b/>
          <w:bCs/>
        </w:rPr>
        <w:t xml:space="preserve">Guideline 24 </w:t>
      </w:r>
      <w:r w:rsidR="00E561EC" w:rsidRPr="00D3207A">
        <w:rPr>
          <w:b/>
          <w:bCs/>
        </w:rPr>
        <w:t>–</w:t>
      </w:r>
      <w:r w:rsidRPr="00D3207A">
        <w:rPr>
          <w:b/>
          <w:bCs/>
        </w:rPr>
        <w:t xml:space="preserve"> Consistency of assumptions</w:t>
      </w:r>
    </w:p>
    <w:p w14:paraId="106D341E" w14:textId="77777777" w:rsidR="00CB4D80" w:rsidRPr="00D3207A" w:rsidRDefault="00CB4D80" w:rsidP="005D263F">
      <w:pPr>
        <w:spacing w:after="0"/>
        <w:jc w:val="both"/>
        <w:rPr>
          <w:b/>
          <w:bCs/>
        </w:rPr>
      </w:pPr>
    </w:p>
    <w:p w14:paraId="2CB10484" w14:textId="6F884781" w:rsidR="003E706A" w:rsidRPr="00D3207A" w:rsidRDefault="003E706A" w:rsidP="005D263F">
      <w:pPr>
        <w:pStyle w:val="ListParagraph"/>
        <w:spacing w:after="0"/>
        <w:jc w:val="both"/>
      </w:pPr>
      <w:r w:rsidRPr="00D3207A">
        <w:t>Insurance and reinsurance undertakings should ensure that assumptions used in the determination of technical provisions, own funds and solvency capital requirement are consistent.</w:t>
      </w:r>
    </w:p>
    <w:p w14:paraId="0C702ADB" w14:textId="77777777" w:rsidR="00A87986" w:rsidRPr="00D3207A" w:rsidRDefault="00A87986" w:rsidP="005D263F">
      <w:pPr>
        <w:spacing w:after="0"/>
        <w:jc w:val="both"/>
      </w:pPr>
    </w:p>
    <w:p w14:paraId="529E6C13" w14:textId="33BD1350" w:rsidR="001D5F8F" w:rsidRDefault="001D5F8F" w:rsidP="005D263F">
      <w:pPr>
        <w:spacing w:after="0"/>
        <w:jc w:val="both"/>
        <w:rPr>
          <w:b/>
          <w:bCs/>
        </w:rPr>
      </w:pPr>
      <w:r w:rsidRPr="00D3207A">
        <w:rPr>
          <w:b/>
          <w:bCs/>
        </w:rPr>
        <w:t>Guideline 24a – Materiality in assumptions setting</w:t>
      </w:r>
    </w:p>
    <w:p w14:paraId="779AC444" w14:textId="77777777" w:rsidR="003D243F" w:rsidRPr="00D3207A" w:rsidRDefault="003D243F" w:rsidP="005D263F">
      <w:pPr>
        <w:spacing w:after="0"/>
        <w:jc w:val="both"/>
        <w:rPr>
          <w:b/>
          <w:bCs/>
        </w:rPr>
      </w:pPr>
    </w:p>
    <w:p w14:paraId="29E98E15" w14:textId="1EECDF58" w:rsidR="001D5F8F" w:rsidRPr="00D3207A" w:rsidRDefault="00A87986" w:rsidP="005D263F">
      <w:pPr>
        <w:pStyle w:val="ListParagraph"/>
        <w:numPr>
          <w:ilvl w:val="0"/>
          <w:numId w:val="25"/>
        </w:numPr>
        <w:spacing w:after="0"/>
        <w:jc w:val="both"/>
      </w:pPr>
      <w:r w:rsidRPr="00D3207A">
        <w:t xml:space="preserve">Insurance and reinsurance undertakings should set assumptions and use expert judgment, in particular taking into account the materiality of the impact of the use of assumptions with respect to the following </w:t>
      </w:r>
      <w:r w:rsidR="00B22564">
        <w:t>g</w:t>
      </w:r>
      <w:r w:rsidRPr="00D3207A">
        <w:t>uidelines on assumption setting and expert judgement.</w:t>
      </w:r>
    </w:p>
    <w:p w14:paraId="49638D71" w14:textId="0B36027E" w:rsidR="000F4039" w:rsidRPr="00D3207A" w:rsidRDefault="000F4039" w:rsidP="005D263F">
      <w:pPr>
        <w:spacing w:after="0"/>
        <w:jc w:val="both"/>
      </w:pPr>
    </w:p>
    <w:p w14:paraId="320A5877" w14:textId="22CD4881" w:rsidR="000F4039" w:rsidRPr="00D3207A" w:rsidRDefault="000F4039" w:rsidP="005D263F">
      <w:pPr>
        <w:pStyle w:val="ListParagraph"/>
        <w:numPr>
          <w:ilvl w:val="0"/>
          <w:numId w:val="25"/>
        </w:numPr>
        <w:spacing w:after="0"/>
        <w:jc w:val="both"/>
      </w:pPr>
      <w:r w:rsidRPr="00D3207A">
        <w:t>Insurance and reinsurance undertakings should assess materiality taking into account both quantitative and qualitative indicators and taking into consideration binary events, extreme events, and events that are not present in historical data. Insurance and reinsurance undertakings should overall evaluate the indicators considered.</w:t>
      </w:r>
    </w:p>
    <w:p w14:paraId="5B97186C" w14:textId="77777777" w:rsidR="000F4039" w:rsidRPr="00D3207A" w:rsidRDefault="000F4039" w:rsidP="005D263F">
      <w:pPr>
        <w:spacing w:after="0"/>
        <w:jc w:val="both"/>
      </w:pPr>
    </w:p>
    <w:p w14:paraId="389E15B5" w14:textId="13286B92" w:rsidR="000F4039" w:rsidRPr="00D3207A" w:rsidRDefault="000F4039" w:rsidP="005D263F">
      <w:pPr>
        <w:spacing w:after="0"/>
        <w:jc w:val="both"/>
        <w:rPr>
          <w:b/>
          <w:bCs/>
        </w:rPr>
      </w:pPr>
      <w:r w:rsidRPr="00D3207A">
        <w:rPr>
          <w:b/>
          <w:bCs/>
        </w:rPr>
        <w:t xml:space="preserve">Guideline 24b – Governance of </w:t>
      </w:r>
      <w:r w:rsidR="00E561EC" w:rsidRPr="00D3207A">
        <w:rPr>
          <w:b/>
          <w:bCs/>
        </w:rPr>
        <w:t>a</w:t>
      </w:r>
      <w:r w:rsidRPr="00D3207A">
        <w:rPr>
          <w:b/>
          <w:bCs/>
        </w:rPr>
        <w:t>ssumptions setting</w:t>
      </w:r>
    </w:p>
    <w:p w14:paraId="23629B08" w14:textId="059974CA" w:rsidR="000F4039" w:rsidRPr="00D3207A" w:rsidRDefault="000F4039" w:rsidP="005D263F">
      <w:pPr>
        <w:spacing w:after="0"/>
        <w:jc w:val="both"/>
      </w:pPr>
    </w:p>
    <w:p w14:paraId="3902B023" w14:textId="3C21C163" w:rsidR="000F4039" w:rsidRPr="00D3207A" w:rsidRDefault="000F4039" w:rsidP="005D263F">
      <w:pPr>
        <w:pStyle w:val="ListParagraph"/>
        <w:numPr>
          <w:ilvl w:val="0"/>
          <w:numId w:val="26"/>
        </w:numPr>
        <w:spacing w:after="0"/>
        <w:jc w:val="both"/>
      </w:pPr>
      <w:r w:rsidRPr="00D3207A">
        <w:t>Insurance and reinsurance undertakings should ensure that all assumption setting and the use of expert judgement in particular, follows a validated and documented process.</w:t>
      </w:r>
    </w:p>
    <w:p w14:paraId="6364334F" w14:textId="77777777" w:rsidR="000F4039" w:rsidRPr="00D3207A" w:rsidRDefault="000F4039" w:rsidP="005D263F">
      <w:pPr>
        <w:spacing w:after="0"/>
        <w:jc w:val="both"/>
      </w:pPr>
    </w:p>
    <w:p w14:paraId="13F13CF5" w14:textId="38634193" w:rsidR="001D5F8F" w:rsidRPr="00D3207A" w:rsidRDefault="000F4039" w:rsidP="005D263F">
      <w:pPr>
        <w:pStyle w:val="ListParagraph"/>
        <w:numPr>
          <w:ilvl w:val="0"/>
          <w:numId w:val="26"/>
        </w:numPr>
        <w:spacing w:after="0"/>
        <w:jc w:val="both"/>
      </w:pPr>
      <w:r w:rsidRPr="00D3207A">
        <w:t>Insurance and reinsurance undertakings should ensure that the assumptions are derived and used consistently over time and across the insurance or reinsurance undertaking and that they are fit for their intended use.</w:t>
      </w:r>
      <w:r w:rsidRPr="00D3207A">
        <w:cr/>
      </w:r>
    </w:p>
    <w:p w14:paraId="2E3EB2CA" w14:textId="0773FDC4" w:rsidR="000F4039" w:rsidRPr="00D3207A" w:rsidRDefault="000F4039" w:rsidP="005D263F">
      <w:pPr>
        <w:pStyle w:val="ListParagraph"/>
        <w:numPr>
          <w:ilvl w:val="0"/>
          <w:numId w:val="26"/>
        </w:numPr>
        <w:spacing w:after="0"/>
        <w:jc w:val="both"/>
      </w:pPr>
      <w:r w:rsidRPr="00D3207A">
        <w:t>Insurance and reinsurance undertakings should approve the assumptions at levels of sufficient seniority according to their materiality, for most material assumptions up to and including the administrative, management or supervisory body.</w:t>
      </w:r>
    </w:p>
    <w:p w14:paraId="0B536E28" w14:textId="77777777" w:rsidR="000F4039" w:rsidRPr="00D3207A" w:rsidRDefault="000F4039" w:rsidP="005D263F">
      <w:pPr>
        <w:spacing w:after="0"/>
        <w:jc w:val="both"/>
      </w:pPr>
    </w:p>
    <w:p w14:paraId="3C36FD3C" w14:textId="37EE42D9" w:rsidR="000F4039" w:rsidRPr="00D3207A" w:rsidRDefault="000F4039" w:rsidP="005D263F">
      <w:pPr>
        <w:spacing w:after="0"/>
        <w:jc w:val="both"/>
        <w:rPr>
          <w:b/>
          <w:bCs/>
        </w:rPr>
      </w:pPr>
      <w:r w:rsidRPr="00D3207A">
        <w:rPr>
          <w:b/>
          <w:bCs/>
        </w:rPr>
        <w:t xml:space="preserve">Guideline 24c – Communication and uncertainty in assumptions setting </w:t>
      </w:r>
    </w:p>
    <w:p w14:paraId="4A876004" w14:textId="467B437B" w:rsidR="000F4039" w:rsidRPr="00D3207A" w:rsidRDefault="000F4039" w:rsidP="005D263F">
      <w:pPr>
        <w:spacing w:after="0"/>
        <w:jc w:val="both"/>
      </w:pPr>
    </w:p>
    <w:p w14:paraId="01D8B136" w14:textId="52D76D88" w:rsidR="000F4039" w:rsidRPr="00D3207A" w:rsidRDefault="000F4039" w:rsidP="005D263F">
      <w:pPr>
        <w:pStyle w:val="ListParagraph"/>
        <w:numPr>
          <w:ilvl w:val="0"/>
          <w:numId w:val="27"/>
        </w:numPr>
        <w:spacing w:after="0"/>
        <w:jc w:val="both"/>
      </w:pPr>
      <w:r w:rsidRPr="00D3207A">
        <w:t>Insurance and reinsurance undertakings should ensure that the processes around assumptions, and in particular around the use of expert judgement in choosing those assumptions, specifically attempt to mitigate the risk of misunderstanding or miscommunication between all different roles related to such assumptions.</w:t>
      </w:r>
    </w:p>
    <w:p w14:paraId="3B69BBFD" w14:textId="77777777" w:rsidR="00A23C52" w:rsidRPr="00D3207A" w:rsidRDefault="00A23C52" w:rsidP="005D263F">
      <w:pPr>
        <w:spacing w:after="0"/>
        <w:jc w:val="both"/>
      </w:pPr>
    </w:p>
    <w:p w14:paraId="6B027D66" w14:textId="7516568C" w:rsidR="00A23C52" w:rsidRPr="00D3207A" w:rsidRDefault="00A23C52" w:rsidP="005D263F">
      <w:pPr>
        <w:pStyle w:val="ListParagraph"/>
        <w:numPr>
          <w:ilvl w:val="0"/>
          <w:numId w:val="27"/>
        </w:numPr>
        <w:spacing w:after="0"/>
        <w:jc w:val="both"/>
      </w:pPr>
      <w:r w:rsidRPr="00D3207A">
        <w:t>Insurance and reinsurance undertakings should establish a formal and documented feedback process between the providers and the users of material expert judgement and of the resulting assumptions.</w:t>
      </w:r>
    </w:p>
    <w:p w14:paraId="0B62D236" w14:textId="69270581" w:rsidR="00A23C52" w:rsidRPr="00D3207A" w:rsidRDefault="00A23C52" w:rsidP="005D263F">
      <w:pPr>
        <w:spacing w:after="0"/>
        <w:jc w:val="both"/>
      </w:pPr>
    </w:p>
    <w:p w14:paraId="190B264B" w14:textId="16AE3834" w:rsidR="00A23C52" w:rsidRPr="00D3207A" w:rsidRDefault="00A23C52" w:rsidP="005D263F">
      <w:pPr>
        <w:pStyle w:val="ListParagraph"/>
        <w:numPr>
          <w:ilvl w:val="0"/>
          <w:numId w:val="27"/>
        </w:numPr>
        <w:spacing w:after="0"/>
        <w:jc w:val="both"/>
      </w:pPr>
      <w:r w:rsidRPr="00D3207A">
        <w:t>Insurance and reinsurance undertakings should make transparent the uncertainty of the assumptions as well as the associated variation in final results.</w:t>
      </w:r>
    </w:p>
    <w:p w14:paraId="20042C51" w14:textId="77777777" w:rsidR="00A23C52" w:rsidRPr="00D3207A" w:rsidRDefault="00A23C52" w:rsidP="005D263F">
      <w:pPr>
        <w:spacing w:after="0"/>
        <w:jc w:val="both"/>
      </w:pPr>
    </w:p>
    <w:p w14:paraId="455960C2" w14:textId="484E2E28" w:rsidR="00A23C52" w:rsidRPr="00D3207A" w:rsidRDefault="00A23C52" w:rsidP="005D263F">
      <w:pPr>
        <w:spacing w:after="0"/>
        <w:jc w:val="both"/>
        <w:rPr>
          <w:b/>
          <w:bCs/>
        </w:rPr>
      </w:pPr>
      <w:r w:rsidRPr="00D3207A">
        <w:rPr>
          <w:b/>
          <w:bCs/>
        </w:rPr>
        <w:t>Guideline 24d – Documentation of assumptions setting</w:t>
      </w:r>
    </w:p>
    <w:p w14:paraId="0F8CF434" w14:textId="77777777" w:rsidR="00A23C52" w:rsidRPr="00D3207A" w:rsidRDefault="00A23C52" w:rsidP="005D263F">
      <w:pPr>
        <w:spacing w:after="0"/>
        <w:jc w:val="both"/>
      </w:pPr>
    </w:p>
    <w:p w14:paraId="7C078FC4" w14:textId="63CD1EF8" w:rsidR="00A23C52" w:rsidRPr="00D3207A" w:rsidRDefault="00A23C52" w:rsidP="005D263F">
      <w:pPr>
        <w:pStyle w:val="ListParagraph"/>
        <w:numPr>
          <w:ilvl w:val="0"/>
          <w:numId w:val="28"/>
        </w:numPr>
        <w:spacing w:after="0"/>
        <w:jc w:val="both"/>
      </w:pPr>
      <w:r w:rsidRPr="00D3207A">
        <w:lastRenderedPageBreak/>
        <w:t>Insurance and reinsurance undertakings should document the assumption setting process and, in particular, the use of expert judgement, in such a manner that the process is transparent.</w:t>
      </w:r>
    </w:p>
    <w:p w14:paraId="72E4C202" w14:textId="77777777" w:rsidR="004510DC" w:rsidRPr="00D3207A" w:rsidRDefault="004510DC" w:rsidP="005D263F">
      <w:pPr>
        <w:pStyle w:val="ListParagraph"/>
        <w:spacing w:after="0"/>
        <w:jc w:val="both"/>
      </w:pPr>
    </w:p>
    <w:p w14:paraId="61982614" w14:textId="4CF3ADC1" w:rsidR="00A23C52" w:rsidRPr="00D3207A" w:rsidRDefault="00A23C52" w:rsidP="005D263F">
      <w:pPr>
        <w:pStyle w:val="ListParagraph"/>
        <w:numPr>
          <w:ilvl w:val="0"/>
          <w:numId w:val="28"/>
        </w:numPr>
        <w:spacing w:after="0"/>
        <w:jc w:val="both"/>
      </w:pPr>
      <w:r w:rsidRPr="00D3207A">
        <w:t>Insurance and reinsurance undertakings should include in the documentation the resulting assumptions and their materiality, the experts involved, the intended use and the period of validity.</w:t>
      </w:r>
    </w:p>
    <w:p w14:paraId="1043585A" w14:textId="77777777" w:rsidR="004510DC" w:rsidRPr="00D3207A" w:rsidRDefault="004510DC" w:rsidP="005D263F">
      <w:pPr>
        <w:pStyle w:val="ListParagraph"/>
        <w:spacing w:after="0"/>
      </w:pPr>
    </w:p>
    <w:p w14:paraId="2C03E073" w14:textId="0D84BD65" w:rsidR="00A23C52" w:rsidRPr="00D3207A" w:rsidRDefault="00A23C52" w:rsidP="005D263F">
      <w:pPr>
        <w:pStyle w:val="ListParagraph"/>
        <w:numPr>
          <w:ilvl w:val="0"/>
          <w:numId w:val="28"/>
        </w:numPr>
        <w:spacing w:after="0"/>
        <w:jc w:val="both"/>
      </w:pPr>
      <w:r w:rsidRPr="00D3207A">
        <w:t>Insurance and reinsurance undertakings should include the rationale for the opinion, including the information basis used, with the level of detail necessary to make transparent both the assumptions and the process and decision-making criteria used for the selection of the assumptions and disregarding other alternatives.</w:t>
      </w:r>
    </w:p>
    <w:p w14:paraId="386288E9" w14:textId="77777777" w:rsidR="004510DC" w:rsidRPr="00D3207A" w:rsidRDefault="004510DC" w:rsidP="005D263F">
      <w:pPr>
        <w:pStyle w:val="ListParagraph"/>
        <w:spacing w:after="0"/>
        <w:jc w:val="both"/>
      </w:pPr>
    </w:p>
    <w:p w14:paraId="72EED9E5" w14:textId="40AFCB50" w:rsidR="00A23C52" w:rsidRPr="00D3207A" w:rsidRDefault="00A23C52" w:rsidP="005D263F">
      <w:pPr>
        <w:pStyle w:val="ListParagraph"/>
        <w:numPr>
          <w:ilvl w:val="0"/>
          <w:numId w:val="28"/>
        </w:numPr>
        <w:spacing w:after="0"/>
        <w:jc w:val="both"/>
      </w:pPr>
      <w:r w:rsidRPr="00D3207A">
        <w:t>Insurance and reinsurance undertakings should make sure that users of material assumptions receive clear and comprehensive written information about those assumptions.</w:t>
      </w:r>
    </w:p>
    <w:p w14:paraId="14621009" w14:textId="110DDC26" w:rsidR="00A23C52" w:rsidRPr="00D3207A" w:rsidRDefault="00A23C52" w:rsidP="005D263F">
      <w:pPr>
        <w:spacing w:after="0"/>
        <w:jc w:val="both"/>
      </w:pPr>
    </w:p>
    <w:p w14:paraId="5BC35E17" w14:textId="4FF92D29" w:rsidR="00A23C52" w:rsidRPr="00D3207A" w:rsidRDefault="00A23C52" w:rsidP="005D263F">
      <w:pPr>
        <w:spacing w:after="0"/>
        <w:jc w:val="both"/>
        <w:rPr>
          <w:b/>
          <w:bCs/>
        </w:rPr>
      </w:pPr>
      <w:r w:rsidRPr="00D3207A">
        <w:rPr>
          <w:b/>
          <w:bCs/>
        </w:rPr>
        <w:t>Guideline 24e – Validation of assumptions setting</w:t>
      </w:r>
    </w:p>
    <w:p w14:paraId="10DB865E" w14:textId="77777777" w:rsidR="00A23C52" w:rsidRPr="00D3207A" w:rsidRDefault="00A23C52" w:rsidP="005D263F">
      <w:pPr>
        <w:spacing w:after="0"/>
        <w:jc w:val="both"/>
      </w:pPr>
    </w:p>
    <w:p w14:paraId="25464FCB" w14:textId="2B8828F6" w:rsidR="00A23C52" w:rsidRPr="00D3207A" w:rsidRDefault="00A23C52" w:rsidP="005D263F">
      <w:pPr>
        <w:pStyle w:val="ListParagraph"/>
        <w:numPr>
          <w:ilvl w:val="0"/>
          <w:numId w:val="29"/>
        </w:numPr>
        <w:spacing w:after="0"/>
        <w:ind w:left="720"/>
        <w:jc w:val="both"/>
      </w:pPr>
      <w:r w:rsidRPr="00D3207A">
        <w:t>Insurance and reinsurance undertakings should ensure that the process for choosing assumptions and using expert judgement is validated.</w:t>
      </w:r>
    </w:p>
    <w:p w14:paraId="00F16314" w14:textId="50BE8DBA" w:rsidR="00A23C52" w:rsidRPr="00D3207A" w:rsidRDefault="00A23C52" w:rsidP="005D263F">
      <w:pPr>
        <w:spacing w:after="0"/>
        <w:ind w:hanging="360"/>
        <w:jc w:val="both"/>
      </w:pPr>
    </w:p>
    <w:p w14:paraId="395000A5" w14:textId="66BB1D13" w:rsidR="00A23C52" w:rsidRPr="00D3207A" w:rsidRDefault="00A23C52" w:rsidP="005D263F">
      <w:pPr>
        <w:pStyle w:val="ListParagraph"/>
        <w:numPr>
          <w:ilvl w:val="0"/>
          <w:numId w:val="29"/>
        </w:numPr>
        <w:spacing w:after="0"/>
        <w:ind w:left="720"/>
        <w:jc w:val="both"/>
      </w:pPr>
      <w:r w:rsidRPr="00D3207A">
        <w:t>Insurance and reinsurance undertakings should ensure that the process and the tools for validating the assumptions and in particular the use of expert judgement are documented.</w:t>
      </w:r>
    </w:p>
    <w:p w14:paraId="3491442A" w14:textId="43F0D2E1" w:rsidR="00A23C52" w:rsidRPr="00D3207A" w:rsidRDefault="00A23C52" w:rsidP="005D263F">
      <w:pPr>
        <w:spacing w:after="0"/>
        <w:ind w:hanging="360"/>
        <w:jc w:val="both"/>
      </w:pPr>
    </w:p>
    <w:p w14:paraId="5A03ACB6" w14:textId="0E5EB2FD" w:rsidR="00A23C52" w:rsidRPr="00D3207A" w:rsidRDefault="00D3207A" w:rsidP="005D263F">
      <w:pPr>
        <w:pStyle w:val="ListParagraph"/>
        <w:numPr>
          <w:ilvl w:val="0"/>
          <w:numId w:val="29"/>
        </w:numPr>
        <w:spacing w:after="0"/>
        <w:ind w:left="720"/>
        <w:jc w:val="both"/>
      </w:pPr>
      <w:r w:rsidRPr="00D3207A">
        <w:t>Insurance and reinsurance undertakings should track the changes of material assumptions in response to new information, and analyse and explain those changes as well as deviations of realisations from material assumptions</w:t>
      </w:r>
      <w:r w:rsidR="00A23C52" w:rsidRPr="00D3207A">
        <w:t>.</w:t>
      </w:r>
      <w:r w:rsidR="00A23C52" w:rsidRPr="00D3207A">
        <w:cr/>
      </w:r>
    </w:p>
    <w:p w14:paraId="428B4B1F" w14:textId="64A34598" w:rsidR="00A23C52" w:rsidRPr="00D3207A" w:rsidRDefault="00A23C52" w:rsidP="005D263F">
      <w:pPr>
        <w:pStyle w:val="ListParagraph"/>
        <w:numPr>
          <w:ilvl w:val="0"/>
          <w:numId w:val="29"/>
        </w:numPr>
        <w:spacing w:after="0"/>
        <w:ind w:left="720"/>
        <w:jc w:val="both"/>
      </w:pPr>
      <w:r w:rsidRPr="00D3207A">
        <w:t>Insurance and reinsurance undertakings, where feasible and appropriate, should use validation tools such as stress testing or sensitivity testing.</w:t>
      </w:r>
    </w:p>
    <w:p w14:paraId="4B53E15D" w14:textId="77777777" w:rsidR="00AD3237" w:rsidRPr="00D3207A" w:rsidRDefault="00AD3237" w:rsidP="005D263F">
      <w:pPr>
        <w:pStyle w:val="ListParagraph"/>
        <w:spacing w:after="0"/>
        <w:jc w:val="both"/>
      </w:pPr>
    </w:p>
    <w:p w14:paraId="27C1C8D4" w14:textId="1B316D33" w:rsidR="00AD3237" w:rsidRPr="00D3207A" w:rsidRDefault="00AD3237" w:rsidP="005D263F">
      <w:pPr>
        <w:pStyle w:val="ListParagraph"/>
        <w:numPr>
          <w:ilvl w:val="0"/>
          <w:numId w:val="29"/>
        </w:numPr>
        <w:spacing w:after="0"/>
        <w:ind w:left="720"/>
        <w:jc w:val="both"/>
      </w:pPr>
      <w:r w:rsidRPr="00D3207A">
        <w:t>Insurance and reinsurance undertakings should review the assumptions chosen, relying on independent internal or external expertise.</w:t>
      </w:r>
      <w:r w:rsidRPr="00D3207A">
        <w:cr/>
      </w:r>
    </w:p>
    <w:p w14:paraId="49D2A152" w14:textId="66B1B607" w:rsidR="00A23C52" w:rsidRPr="00D3207A" w:rsidRDefault="00A23C52" w:rsidP="005D263F">
      <w:pPr>
        <w:pStyle w:val="ListParagraph"/>
        <w:numPr>
          <w:ilvl w:val="0"/>
          <w:numId w:val="29"/>
        </w:numPr>
        <w:spacing w:after="0"/>
        <w:jc w:val="both"/>
      </w:pPr>
      <w:r w:rsidRPr="00D3207A">
        <w:t>Insurance and reinsurance undertakings should detect the occurrence of circumstances under which the assumptions would be considered false.</w:t>
      </w:r>
    </w:p>
    <w:p w14:paraId="0AE3EA6D" w14:textId="77777777" w:rsidR="004510DC" w:rsidRPr="00D3207A" w:rsidRDefault="004510DC" w:rsidP="005D263F">
      <w:pPr>
        <w:spacing w:after="0"/>
        <w:jc w:val="both"/>
        <w:rPr>
          <w:b/>
          <w:bCs/>
        </w:rPr>
      </w:pPr>
    </w:p>
    <w:p w14:paraId="1E06FC52" w14:textId="372B157B" w:rsidR="003E706A" w:rsidRPr="00D3207A" w:rsidRDefault="003E706A" w:rsidP="005D263F">
      <w:pPr>
        <w:spacing w:after="0"/>
        <w:jc w:val="both"/>
        <w:rPr>
          <w:b/>
          <w:bCs/>
        </w:rPr>
      </w:pPr>
      <w:r w:rsidRPr="00D3207A">
        <w:rPr>
          <w:b/>
          <w:bCs/>
        </w:rPr>
        <w:t>Biometric risk factors</w:t>
      </w:r>
    </w:p>
    <w:p w14:paraId="3C6B3CA4" w14:textId="77777777" w:rsidR="000F4039" w:rsidRPr="00D3207A" w:rsidRDefault="000F4039" w:rsidP="005D263F">
      <w:pPr>
        <w:spacing w:after="0"/>
        <w:jc w:val="both"/>
        <w:rPr>
          <w:b/>
          <w:bCs/>
        </w:rPr>
      </w:pPr>
    </w:p>
    <w:p w14:paraId="0D0A8A64" w14:textId="79022F00" w:rsidR="003E706A" w:rsidRPr="00D3207A" w:rsidRDefault="003E706A" w:rsidP="005D263F">
      <w:pPr>
        <w:spacing w:after="0"/>
        <w:jc w:val="both"/>
        <w:rPr>
          <w:b/>
          <w:bCs/>
        </w:rPr>
      </w:pPr>
      <w:r w:rsidRPr="00D3207A">
        <w:rPr>
          <w:b/>
          <w:bCs/>
        </w:rPr>
        <w:t>Guideline 25 – Modelling biometric risk factors</w:t>
      </w:r>
    </w:p>
    <w:p w14:paraId="63D20184" w14:textId="77777777" w:rsidR="000F4039" w:rsidRPr="00D3207A" w:rsidRDefault="000F4039" w:rsidP="005D263F">
      <w:pPr>
        <w:spacing w:after="0"/>
        <w:jc w:val="both"/>
        <w:rPr>
          <w:b/>
          <w:bCs/>
        </w:rPr>
      </w:pPr>
    </w:p>
    <w:p w14:paraId="229A5ECA" w14:textId="70329005" w:rsidR="000F4039" w:rsidRPr="00D3207A" w:rsidRDefault="00A23C52" w:rsidP="005D263F">
      <w:pPr>
        <w:pStyle w:val="ListParagraph"/>
        <w:numPr>
          <w:ilvl w:val="0"/>
          <w:numId w:val="30"/>
        </w:numPr>
        <w:spacing w:after="0"/>
        <w:jc w:val="both"/>
      </w:pPr>
      <w:r w:rsidRPr="00D3207A">
        <w:t>Insurance and reinsurance undertakings should consider whether a deterministic or a stochastic approach is proportionate to model the uncertainty of biometric risk factors.</w:t>
      </w:r>
    </w:p>
    <w:p w14:paraId="6E4F26AA" w14:textId="77777777" w:rsidR="00404C82" w:rsidRPr="00D3207A" w:rsidRDefault="00404C82" w:rsidP="005D263F">
      <w:pPr>
        <w:spacing w:after="0"/>
        <w:jc w:val="both"/>
      </w:pPr>
    </w:p>
    <w:p w14:paraId="334A5B12" w14:textId="40FEAAEF" w:rsidR="00404C82" w:rsidRPr="00D3207A" w:rsidRDefault="00404C82" w:rsidP="005D263F">
      <w:pPr>
        <w:pStyle w:val="ListParagraph"/>
        <w:numPr>
          <w:ilvl w:val="0"/>
          <w:numId w:val="30"/>
        </w:numPr>
        <w:spacing w:after="0"/>
        <w:jc w:val="both"/>
      </w:pPr>
      <w:r w:rsidRPr="00D3207A">
        <w:lastRenderedPageBreak/>
        <w:t xml:space="preserve">Insurance and reinsurance undertakings should take into account the duration of the liabilities when assessing whether a method that neglects expected future changes in biometrical risk factors is proportionate, in particular in assessing the error introduced in the result by the method. </w:t>
      </w:r>
    </w:p>
    <w:p w14:paraId="7E48219E" w14:textId="303EAB6D" w:rsidR="00404C82" w:rsidRPr="00D3207A" w:rsidRDefault="00404C82" w:rsidP="005D263F">
      <w:pPr>
        <w:spacing w:after="0"/>
        <w:jc w:val="both"/>
      </w:pPr>
    </w:p>
    <w:p w14:paraId="6F434658" w14:textId="3530116C" w:rsidR="00404C82" w:rsidRPr="00D3207A" w:rsidRDefault="00404C82" w:rsidP="005D263F">
      <w:pPr>
        <w:pStyle w:val="ListParagraph"/>
        <w:numPr>
          <w:ilvl w:val="0"/>
          <w:numId w:val="30"/>
        </w:numPr>
        <w:spacing w:after="0"/>
        <w:jc w:val="both"/>
      </w:pPr>
      <w:r w:rsidRPr="00D3207A">
        <w:t>Insurance and reinsurance undertakings should ensure, when assessing whether a method that assumes that biometric risk factors are independent from any other variable is proportionate, and that the specificities of the risk factors are taken into account. For this purpose, the assessment of the level of correlation should be based on historical data and expert judgment.</w:t>
      </w:r>
    </w:p>
    <w:p w14:paraId="2D946E99" w14:textId="77777777" w:rsidR="000738AB" w:rsidRPr="00D3207A" w:rsidRDefault="000738AB" w:rsidP="005D263F">
      <w:pPr>
        <w:spacing w:after="0"/>
        <w:jc w:val="both"/>
        <w:rPr>
          <w:b/>
          <w:bCs/>
        </w:rPr>
      </w:pPr>
    </w:p>
    <w:p w14:paraId="77753C68" w14:textId="53A2F4C1" w:rsidR="003E706A" w:rsidRPr="00D3207A" w:rsidRDefault="003E706A" w:rsidP="005D263F">
      <w:pPr>
        <w:spacing w:after="0"/>
        <w:jc w:val="both"/>
        <w:rPr>
          <w:b/>
          <w:bCs/>
        </w:rPr>
      </w:pPr>
      <w:r w:rsidRPr="00D3207A">
        <w:rPr>
          <w:b/>
          <w:bCs/>
        </w:rPr>
        <w:t>Guideline 26 – Expenses for hedging</w:t>
      </w:r>
    </w:p>
    <w:p w14:paraId="66DE0686" w14:textId="77777777" w:rsidR="00404C82" w:rsidRPr="00D3207A" w:rsidRDefault="00404C82" w:rsidP="005D263F">
      <w:pPr>
        <w:spacing w:after="0"/>
        <w:jc w:val="both"/>
      </w:pPr>
    </w:p>
    <w:p w14:paraId="4FFDF12F" w14:textId="4C0E3E29" w:rsidR="003E706A" w:rsidRPr="00D3207A" w:rsidRDefault="003E706A" w:rsidP="005D263F">
      <w:pPr>
        <w:spacing w:after="0"/>
        <w:ind w:left="708"/>
        <w:jc w:val="both"/>
      </w:pPr>
      <w:r w:rsidRPr="00D3207A">
        <w:t>For insurance and reinsurance undertakings using a hedging program to mitigate risks, the expenses of the hedging program should be taken into account in the valuation of technical provisions. The</w:t>
      </w:r>
      <w:r w:rsidR="006E03C3" w:rsidRPr="00D3207A">
        <w:t xml:space="preserve"> </w:t>
      </w:r>
      <w:r w:rsidRPr="00D3207A">
        <w:t>expected</w:t>
      </w:r>
      <w:r w:rsidR="006E03C3" w:rsidRPr="00D3207A">
        <w:t xml:space="preserve"> </w:t>
      </w:r>
      <w:r w:rsidRPr="00D3207A">
        <w:t>incurrence of such expenses should be reflected in the projected cash in-flows and cash out-flows required to settle the insurance and reinsurance obligations.</w:t>
      </w:r>
    </w:p>
    <w:p w14:paraId="0CB9F1C5" w14:textId="77777777" w:rsidR="0064059A" w:rsidRPr="00D3207A" w:rsidRDefault="0064059A" w:rsidP="005D263F">
      <w:pPr>
        <w:spacing w:after="0"/>
        <w:jc w:val="both"/>
        <w:rPr>
          <w:b/>
          <w:bCs/>
        </w:rPr>
      </w:pPr>
    </w:p>
    <w:p w14:paraId="5C1A8159" w14:textId="152A2429" w:rsidR="003E706A" w:rsidRPr="00D3207A" w:rsidRDefault="003E706A" w:rsidP="005D263F">
      <w:pPr>
        <w:spacing w:after="0"/>
        <w:jc w:val="both"/>
        <w:rPr>
          <w:b/>
          <w:bCs/>
        </w:rPr>
      </w:pPr>
      <w:r w:rsidRPr="00D3207A">
        <w:rPr>
          <w:b/>
          <w:bCs/>
        </w:rPr>
        <w:t>Guideline 27 – Availability of market data</w:t>
      </w:r>
    </w:p>
    <w:p w14:paraId="28DFFCF2" w14:textId="77777777" w:rsidR="00CB4D80" w:rsidRPr="00D3207A" w:rsidRDefault="00CB4D80" w:rsidP="005D263F">
      <w:pPr>
        <w:spacing w:after="0"/>
        <w:jc w:val="both"/>
        <w:rPr>
          <w:b/>
          <w:bCs/>
        </w:rPr>
      </w:pPr>
    </w:p>
    <w:p w14:paraId="6D70A2B1" w14:textId="7C1B347A" w:rsidR="003E706A" w:rsidRPr="00D3207A" w:rsidRDefault="003E706A" w:rsidP="005D263F">
      <w:pPr>
        <w:spacing w:after="0"/>
        <w:ind w:left="708"/>
        <w:jc w:val="both"/>
      </w:pPr>
      <w:r w:rsidRPr="00D3207A">
        <w:t>Insurance and reinsurance undertakings should assess the availability of relevant</w:t>
      </w:r>
      <w:r w:rsidR="006E03C3" w:rsidRPr="00D3207A">
        <w:t xml:space="preserve"> </w:t>
      </w:r>
      <w:r w:rsidRPr="00D3207A">
        <w:t>market</w:t>
      </w:r>
      <w:r w:rsidR="006E03C3" w:rsidRPr="00D3207A">
        <w:t xml:space="preserve"> </w:t>
      </w:r>
      <w:r w:rsidRPr="00D3207A">
        <w:t>data</w:t>
      </w:r>
      <w:r w:rsidR="006E03C3" w:rsidRPr="00D3207A">
        <w:t xml:space="preserve"> </w:t>
      </w:r>
      <w:r w:rsidRPr="00D3207A">
        <w:t>on</w:t>
      </w:r>
      <w:r w:rsidR="006E03C3" w:rsidRPr="00D3207A">
        <w:t xml:space="preserve"> </w:t>
      </w:r>
      <w:r w:rsidRPr="00D3207A">
        <w:t>expenses</w:t>
      </w:r>
      <w:r w:rsidR="006E03C3" w:rsidRPr="00D3207A">
        <w:t xml:space="preserve"> </w:t>
      </w:r>
      <w:r w:rsidRPr="00D3207A">
        <w:t>by</w:t>
      </w:r>
      <w:r w:rsidR="006E03C3" w:rsidRPr="00D3207A">
        <w:t xml:space="preserve"> </w:t>
      </w:r>
      <w:r w:rsidRPr="00D3207A">
        <w:t>considering</w:t>
      </w:r>
      <w:r w:rsidR="006E03C3" w:rsidRPr="00D3207A">
        <w:t xml:space="preserve"> </w:t>
      </w:r>
      <w:r w:rsidRPr="00D3207A">
        <w:t>the</w:t>
      </w:r>
      <w:r w:rsidR="006E03C3" w:rsidRPr="00D3207A">
        <w:t xml:space="preserve"> </w:t>
      </w:r>
      <w:r w:rsidRPr="00D3207A">
        <w:t>representativeness</w:t>
      </w:r>
      <w:r w:rsidR="006E03C3" w:rsidRPr="00D3207A">
        <w:t xml:space="preserve"> </w:t>
      </w:r>
      <w:r w:rsidRPr="00D3207A">
        <w:t>of market</w:t>
      </w:r>
      <w:r w:rsidR="006E03C3" w:rsidRPr="00D3207A">
        <w:t xml:space="preserve"> </w:t>
      </w:r>
      <w:r w:rsidRPr="00D3207A">
        <w:t>data</w:t>
      </w:r>
      <w:r w:rsidR="006E03C3" w:rsidRPr="00D3207A">
        <w:t xml:space="preserve"> </w:t>
      </w:r>
      <w:r w:rsidRPr="00D3207A">
        <w:t>relative</w:t>
      </w:r>
      <w:r w:rsidR="006E03C3" w:rsidRPr="00D3207A">
        <w:t xml:space="preserve"> </w:t>
      </w:r>
      <w:r w:rsidRPr="00D3207A">
        <w:t>to</w:t>
      </w:r>
      <w:r w:rsidR="006E03C3" w:rsidRPr="00D3207A">
        <w:t xml:space="preserve"> </w:t>
      </w:r>
      <w:r w:rsidRPr="00D3207A">
        <w:t>the</w:t>
      </w:r>
      <w:r w:rsidR="006E03C3" w:rsidRPr="00D3207A">
        <w:t xml:space="preserve"> </w:t>
      </w:r>
      <w:r w:rsidRPr="00D3207A">
        <w:t>portfolio</w:t>
      </w:r>
      <w:r w:rsidR="006E03C3" w:rsidRPr="00D3207A">
        <w:t xml:space="preserve"> </w:t>
      </w:r>
      <w:r w:rsidRPr="00D3207A">
        <w:t>of</w:t>
      </w:r>
      <w:r w:rsidR="006E03C3" w:rsidRPr="00D3207A">
        <w:t xml:space="preserve"> </w:t>
      </w:r>
      <w:r w:rsidRPr="00D3207A">
        <w:t>insurance</w:t>
      </w:r>
      <w:r w:rsidR="006E03C3" w:rsidRPr="00D3207A">
        <w:t xml:space="preserve"> </w:t>
      </w:r>
      <w:r w:rsidRPr="00D3207A">
        <w:t>or</w:t>
      </w:r>
      <w:r w:rsidR="006E03C3" w:rsidRPr="00D3207A">
        <w:t xml:space="preserve"> </w:t>
      </w:r>
      <w:r w:rsidRPr="00D3207A">
        <w:t>reinsurance obligations, and the credibility and reliability of data.</w:t>
      </w:r>
    </w:p>
    <w:p w14:paraId="6B986495" w14:textId="77777777" w:rsidR="00404C82" w:rsidRPr="00D3207A" w:rsidRDefault="00404C82" w:rsidP="005D263F">
      <w:pPr>
        <w:spacing w:after="0"/>
        <w:jc w:val="both"/>
      </w:pPr>
    </w:p>
    <w:p w14:paraId="151E6321" w14:textId="0845FDB0" w:rsidR="003E706A" w:rsidRPr="00D3207A" w:rsidRDefault="003E706A" w:rsidP="005D263F">
      <w:pPr>
        <w:spacing w:after="0"/>
        <w:jc w:val="both"/>
        <w:rPr>
          <w:b/>
          <w:bCs/>
        </w:rPr>
      </w:pPr>
      <w:r w:rsidRPr="00D3207A">
        <w:rPr>
          <w:b/>
          <w:bCs/>
        </w:rPr>
        <w:t>Guideline 28 – Expenses taken into account on contractual terms</w:t>
      </w:r>
    </w:p>
    <w:p w14:paraId="00221033" w14:textId="77777777" w:rsidR="00CB4D80" w:rsidRPr="00D3207A" w:rsidRDefault="00CB4D80" w:rsidP="005D263F">
      <w:pPr>
        <w:spacing w:after="0"/>
        <w:jc w:val="both"/>
        <w:rPr>
          <w:b/>
          <w:bCs/>
        </w:rPr>
      </w:pPr>
    </w:p>
    <w:p w14:paraId="1B505BD0" w14:textId="0B2405F1" w:rsidR="003E706A" w:rsidRPr="00D3207A" w:rsidRDefault="003E706A" w:rsidP="005D263F">
      <w:pPr>
        <w:pStyle w:val="ListParagraph"/>
        <w:spacing w:after="0"/>
        <w:jc w:val="both"/>
      </w:pPr>
      <w:r w:rsidRPr="00D3207A">
        <w:t>Insurance and reinsurance undertakings should ensure that expenses that are determined by contracts between the undertaking and third parties are taken into account based on the terms of the contract. In</w:t>
      </w:r>
      <w:r w:rsidR="006E03C3" w:rsidRPr="00D3207A">
        <w:t xml:space="preserve"> </w:t>
      </w:r>
      <w:r w:rsidRPr="00D3207A">
        <w:t>particular,</w:t>
      </w:r>
      <w:r w:rsidR="006E03C3" w:rsidRPr="00D3207A">
        <w:t xml:space="preserve"> </w:t>
      </w:r>
      <w:r w:rsidRPr="00D3207A">
        <w:t>commissions arising from insurance contracts are considered based on the terms of the contracts</w:t>
      </w:r>
      <w:r w:rsidR="006E03C3" w:rsidRPr="00D3207A">
        <w:t xml:space="preserve"> </w:t>
      </w:r>
      <w:r w:rsidRPr="00D3207A">
        <w:t>between</w:t>
      </w:r>
      <w:r w:rsidR="006E03C3" w:rsidRPr="00D3207A">
        <w:t xml:space="preserve"> </w:t>
      </w:r>
      <w:r w:rsidRPr="00D3207A">
        <w:t>the</w:t>
      </w:r>
      <w:r w:rsidR="006E03C3" w:rsidRPr="00D3207A">
        <w:t xml:space="preserve"> </w:t>
      </w:r>
      <w:r w:rsidRPr="00D3207A">
        <w:t>undertakings</w:t>
      </w:r>
      <w:r w:rsidR="006E03C3" w:rsidRPr="00D3207A">
        <w:t xml:space="preserve"> </w:t>
      </w:r>
      <w:r w:rsidRPr="00D3207A">
        <w:t>and</w:t>
      </w:r>
      <w:r w:rsidR="006E03C3" w:rsidRPr="00D3207A">
        <w:t xml:space="preserve"> </w:t>
      </w:r>
      <w:r w:rsidRPr="00D3207A">
        <w:t>the</w:t>
      </w:r>
      <w:r w:rsidR="006E03C3" w:rsidRPr="00D3207A">
        <w:t xml:space="preserve"> </w:t>
      </w:r>
      <w:r w:rsidRPr="00D3207A">
        <w:t>sales</w:t>
      </w:r>
      <w:r w:rsidR="006E03C3" w:rsidRPr="00D3207A">
        <w:t xml:space="preserve"> </w:t>
      </w:r>
      <w:r w:rsidRPr="00D3207A">
        <w:t>persons,</w:t>
      </w:r>
      <w:r w:rsidR="006E03C3" w:rsidRPr="00D3207A">
        <w:t xml:space="preserve"> </w:t>
      </w:r>
      <w:r w:rsidRPr="00D3207A">
        <w:t>and</w:t>
      </w:r>
      <w:r w:rsidR="006E03C3" w:rsidRPr="00D3207A">
        <w:t xml:space="preserve"> </w:t>
      </w:r>
      <w:r w:rsidRPr="00D3207A">
        <w:t>expenses in respect of reinsurance are taken into account based on the contracts between the undertaking and its reinsurers.</w:t>
      </w:r>
    </w:p>
    <w:p w14:paraId="24F22F6A" w14:textId="77777777" w:rsidR="00404C82" w:rsidRPr="00D3207A" w:rsidRDefault="00404C82" w:rsidP="005D263F">
      <w:pPr>
        <w:spacing w:after="0"/>
        <w:jc w:val="both"/>
      </w:pPr>
    </w:p>
    <w:p w14:paraId="2678B4D2" w14:textId="1E70964A" w:rsidR="00404C82" w:rsidRPr="00D3207A" w:rsidRDefault="00404C82" w:rsidP="005D263F">
      <w:pPr>
        <w:spacing w:after="0"/>
        <w:jc w:val="both"/>
        <w:rPr>
          <w:b/>
          <w:bCs/>
        </w:rPr>
      </w:pPr>
      <w:r w:rsidRPr="00D3207A">
        <w:rPr>
          <w:b/>
          <w:bCs/>
        </w:rPr>
        <w:t xml:space="preserve">Guideline 28A – Investment </w:t>
      </w:r>
      <w:r w:rsidR="00D3207A">
        <w:rPr>
          <w:b/>
          <w:bCs/>
        </w:rPr>
        <w:t>m</w:t>
      </w:r>
      <w:r w:rsidRPr="00D3207A">
        <w:rPr>
          <w:b/>
          <w:bCs/>
        </w:rPr>
        <w:t xml:space="preserve">anagement </w:t>
      </w:r>
      <w:r w:rsidR="00D3207A">
        <w:rPr>
          <w:b/>
          <w:bCs/>
        </w:rPr>
        <w:t>e</w:t>
      </w:r>
      <w:r w:rsidRPr="00D3207A">
        <w:rPr>
          <w:b/>
          <w:bCs/>
        </w:rPr>
        <w:t>xpenses</w:t>
      </w:r>
    </w:p>
    <w:p w14:paraId="1948DDCE" w14:textId="77777777" w:rsidR="00D16EE1" w:rsidRPr="00D3207A" w:rsidRDefault="00D16EE1" w:rsidP="005D263F">
      <w:pPr>
        <w:spacing w:after="0"/>
        <w:jc w:val="both"/>
        <w:rPr>
          <w:b/>
          <w:bCs/>
        </w:rPr>
      </w:pPr>
    </w:p>
    <w:p w14:paraId="55238488" w14:textId="18A3353D" w:rsidR="00404C82" w:rsidRPr="00D3207A" w:rsidRDefault="00A4182F" w:rsidP="005D263F">
      <w:pPr>
        <w:pStyle w:val="ListParagraph"/>
        <w:numPr>
          <w:ilvl w:val="0"/>
          <w:numId w:val="101"/>
        </w:numPr>
        <w:spacing w:after="0"/>
        <w:jc w:val="both"/>
      </w:pPr>
      <w:r w:rsidRPr="00D3207A">
        <w:t xml:space="preserve">Insurance and reinsurance undertakings should include in the best estimate administrative and trading expenses associated with the investments needed to </w:t>
      </w:r>
      <w:r w:rsidR="00D3207A">
        <w:t>service</w:t>
      </w:r>
      <w:r w:rsidRPr="00D3207A">
        <w:t xml:space="preserve"> insurance and reinsurance contracts.</w:t>
      </w:r>
    </w:p>
    <w:p w14:paraId="50884356" w14:textId="77777777" w:rsidR="00A4182F" w:rsidRPr="00D3207A" w:rsidRDefault="00A4182F" w:rsidP="005D263F">
      <w:pPr>
        <w:pStyle w:val="ListParagraph"/>
        <w:spacing w:after="0"/>
        <w:jc w:val="both"/>
      </w:pPr>
    </w:p>
    <w:p w14:paraId="236BF890" w14:textId="4B8E4999" w:rsidR="00A4182F" w:rsidRPr="00D3207A" w:rsidRDefault="00A4182F" w:rsidP="005D263F">
      <w:pPr>
        <w:pStyle w:val="ListParagraph"/>
        <w:numPr>
          <w:ilvl w:val="0"/>
          <w:numId w:val="101"/>
        </w:numPr>
        <w:spacing w:after="0"/>
        <w:jc w:val="both"/>
      </w:pPr>
      <w:r w:rsidRPr="00D3207A">
        <w:t>In particular, for products whose terms and conditions of the contract or the regulation requires to identify the investments associated with a product (e.g. most unit linked and index linked products, products managed in ring-fenced funds and products to which matching adjustment is applied), insurance and reinsurance undertakings should consider the investments.</w:t>
      </w:r>
      <w:r w:rsidRPr="00D3207A">
        <w:cr/>
      </w:r>
    </w:p>
    <w:p w14:paraId="497B49A0" w14:textId="120DC23E" w:rsidR="00A4182F" w:rsidRPr="00D3207A" w:rsidRDefault="000B6745" w:rsidP="005D263F">
      <w:pPr>
        <w:pStyle w:val="ListParagraph"/>
        <w:numPr>
          <w:ilvl w:val="0"/>
          <w:numId w:val="101"/>
        </w:numPr>
        <w:spacing w:after="0"/>
        <w:jc w:val="both"/>
      </w:pPr>
      <w:r w:rsidRPr="00D3207A">
        <w:lastRenderedPageBreak/>
        <w:t>For other products, insurance and reinsurance undertakings should base the assessment on the characteristics of the contracts.</w:t>
      </w:r>
    </w:p>
    <w:p w14:paraId="230CBBEC" w14:textId="3A920FA6" w:rsidR="000B6745" w:rsidRPr="00D3207A" w:rsidRDefault="000B6745" w:rsidP="005D263F">
      <w:pPr>
        <w:pStyle w:val="ListParagraph"/>
        <w:spacing w:after="0"/>
        <w:jc w:val="both"/>
      </w:pPr>
    </w:p>
    <w:p w14:paraId="106F25A7" w14:textId="4F65A616" w:rsidR="000B6745" w:rsidRPr="00D3207A" w:rsidRDefault="000B6745" w:rsidP="005D263F">
      <w:pPr>
        <w:pStyle w:val="ListParagraph"/>
        <w:numPr>
          <w:ilvl w:val="0"/>
          <w:numId w:val="101"/>
        </w:numPr>
        <w:spacing w:after="0"/>
        <w:jc w:val="both"/>
      </w:pPr>
      <w:r w:rsidRPr="00D3207A">
        <w:t>As a simplification, insurance and reinsurance undertakings may also consider all investment management expenses.</w:t>
      </w:r>
    </w:p>
    <w:p w14:paraId="416892E8" w14:textId="77777777" w:rsidR="000B6745" w:rsidRPr="00D3207A" w:rsidRDefault="000B6745" w:rsidP="005D263F">
      <w:pPr>
        <w:pStyle w:val="ListParagraph"/>
        <w:spacing w:after="0"/>
        <w:jc w:val="both"/>
      </w:pPr>
    </w:p>
    <w:p w14:paraId="1C0C2E4A" w14:textId="5C071593" w:rsidR="00A4182F" w:rsidRPr="00D3207A" w:rsidRDefault="000B6745" w:rsidP="005D263F">
      <w:pPr>
        <w:pStyle w:val="ListParagraph"/>
        <w:numPr>
          <w:ilvl w:val="0"/>
          <w:numId w:val="101"/>
        </w:numPr>
        <w:spacing w:after="0"/>
        <w:jc w:val="both"/>
      </w:pPr>
      <w:r w:rsidRPr="00D3207A">
        <w:t>Reimbursements of investment management expenses that the fund manager pays to the undertaking should be taken into account as other incoming cash flows. Where these reimbursements are shared with the policyholders or other third parties, the corresponding cash out flows should also be considered.</w:t>
      </w:r>
      <w:r w:rsidRPr="00D3207A">
        <w:cr/>
      </w:r>
    </w:p>
    <w:p w14:paraId="74DEE9B1" w14:textId="21FC41D3" w:rsidR="003E706A" w:rsidRPr="00D3207A" w:rsidRDefault="003E706A" w:rsidP="005D263F">
      <w:pPr>
        <w:spacing w:after="0"/>
        <w:jc w:val="both"/>
        <w:rPr>
          <w:b/>
          <w:bCs/>
        </w:rPr>
      </w:pPr>
      <w:r w:rsidRPr="00D3207A">
        <w:rPr>
          <w:b/>
          <w:bCs/>
        </w:rPr>
        <w:t>Expense allocation</w:t>
      </w:r>
    </w:p>
    <w:p w14:paraId="6575FD70" w14:textId="77777777" w:rsidR="000B6745" w:rsidRPr="00D3207A" w:rsidRDefault="000B6745" w:rsidP="005D263F">
      <w:pPr>
        <w:spacing w:after="0"/>
        <w:jc w:val="both"/>
        <w:rPr>
          <w:b/>
          <w:bCs/>
        </w:rPr>
      </w:pPr>
    </w:p>
    <w:p w14:paraId="26B80ECF" w14:textId="7A889DF5" w:rsidR="003E706A" w:rsidRPr="00D3207A" w:rsidRDefault="003E706A" w:rsidP="005D263F">
      <w:pPr>
        <w:spacing w:after="0"/>
        <w:jc w:val="both"/>
        <w:rPr>
          <w:b/>
          <w:bCs/>
        </w:rPr>
      </w:pPr>
      <w:r w:rsidRPr="00D3207A">
        <w:rPr>
          <w:b/>
          <w:bCs/>
        </w:rPr>
        <w:t>Guideline 29 – Granularity of allocation of expenses</w:t>
      </w:r>
    </w:p>
    <w:p w14:paraId="6620ABE6" w14:textId="77777777" w:rsidR="000B6745" w:rsidRPr="00D3207A" w:rsidRDefault="000B6745" w:rsidP="005D263F">
      <w:pPr>
        <w:spacing w:after="0"/>
        <w:jc w:val="both"/>
      </w:pPr>
    </w:p>
    <w:p w14:paraId="71E9DF9B" w14:textId="53934B49" w:rsidR="003E706A" w:rsidRPr="00D3207A" w:rsidRDefault="003E706A" w:rsidP="005D263F">
      <w:pPr>
        <w:pStyle w:val="ListParagraph"/>
        <w:spacing w:after="0"/>
        <w:jc w:val="both"/>
      </w:pPr>
      <w:r w:rsidRPr="00D3207A">
        <w:t>Insurance and reinsurance undertakings should allocate the expenses into homogeneous risk groups, as a minimum by line of business, according to the segmentation of their obligations used in the calculation of technical provisions.</w:t>
      </w:r>
    </w:p>
    <w:p w14:paraId="67737F1E" w14:textId="77777777" w:rsidR="000B6745" w:rsidRPr="00D3207A" w:rsidRDefault="000B6745" w:rsidP="005D263F">
      <w:pPr>
        <w:spacing w:after="0"/>
        <w:jc w:val="both"/>
      </w:pPr>
    </w:p>
    <w:p w14:paraId="3434436E" w14:textId="79D707EE" w:rsidR="003E706A" w:rsidRPr="00D3207A" w:rsidRDefault="003E706A" w:rsidP="005D263F">
      <w:pPr>
        <w:spacing w:after="0"/>
        <w:jc w:val="both"/>
        <w:rPr>
          <w:b/>
          <w:bCs/>
        </w:rPr>
      </w:pPr>
      <w:r w:rsidRPr="00D3207A">
        <w:rPr>
          <w:b/>
          <w:bCs/>
        </w:rPr>
        <w:t xml:space="preserve">Guideline 30 – Apportionment of </w:t>
      </w:r>
      <w:commentRangeStart w:id="2"/>
      <w:r w:rsidR="00D3207A">
        <w:rPr>
          <w:b/>
          <w:bCs/>
        </w:rPr>
        <w:t>e</w:t>
      </w:r>
      <w:r w:rsidRPr="00D3207A">
        <w:rPr>
          <w:b/>
          <w:bCs/>
        </w:rPr>
        <w:t>xpenses</w:t>
      </w:r>
      <w:commentRangeEnd w:id="2"/>
      <w:r w:rsidR="00D3207A">
        <w:rPr>
          <w:rStyle w:val="CommentReference"/>
        </w:rPr>
        <w:commentReference w:id="2"/>
      </w:r>
    </w:p>
    <w:p w14:paraId="19B0A6C2" w14:textId="77777777" w:rsidR="000B6745" w:rsidRPr="00D3207A" w:rsidRDefault="000B6745" w:rsidP="005D263F">
      <w:pPr>
        <w:spacing w:after="0"/>
        <w:jc w:val="both"/>
      </w:pPr>
    </w:p>
    <w:p w14:paraId="3DEBDA49" w14:textId="45870D9F" w:rsidR="000B6745" w:rsidRPr="00D3207A" w:rsidRDefault="000B6745" w:rsidP="005D263F">
      <w:pPr>
        <w:pStyle w:val="ListParagraph"/>
        <w:numPr>
          <w:ilvl w:val="0"/>
          <w:numId w:val="35"/>
        </w:numPr>
        <w:spacing w:after="0"/>
        <w:ind w:left="709" w:hanging="425"/>
        <w:jc w:val="both"/>
      </w:pPr>
      <w:r w:rsidRPr="00D3207A">
        <w:t xml:space="preserve">Insurance and reinsurance undertakings should allocate and </w:t>
      </w:r>
      <w:r w:rsidR="00B02D9C">
        <w:t>project</w:t>
      </w:r>
      <w:r w:rsidR="006E03C3" w:rsidRPr="00D3207A">
        <w:t xml:space="preserve"> </w:t>
      </w:r>
      <w:commentRangeStart w:id="3"/>
      <w:r w:rsidRPr="00845499">
        <w:rPr>
          <w:highlight w:val="yellow"/>
        </w:rPr>
        <w:t>expenses</w:t>
      </w:r>
      <w:r w:rsidRPr="00D3207A">
        <w:t xml:space="preserve"> </w:t>
      </w:r>
      <w:commentRangeEnd w:id="3"/>
      <w:r w:rsidR="00AF4D0D">
        <w:rPr>
          <w:rStyle w:val="CommentReference"/>
        </w:rPr>
        <w:commentReference w:id="3"/>
      </w:r>
      <w:r w:rsidRPr="00D3207A">
        <w:t>in a realistic and objective manner, and should base the allocation on their long-term business strategies, recent analyses of the operations of the business, on the identification of appropriate expense drivers and on relevant expense apportionment ratios.</w:t>
      </w:r>
    </w:p>
    <w:p w14:paraId="603F970E" w14:textId="0292E78E" w:rsidR="000B6745" w:rsidRPr="00D3207A" w:rsidRDefault="000B6745" w:rsidP="005D263F">
      <w:pPr>
        <w:spacing w:after="0"/>
        <w:jc w:val="both"/>
      </w:pPr>
    </w:p>
    <w:p w14:paraId="16A11D5F" w14:textId="4E62A7DA" w:rsidR="003D243F" w:rsidRDefault="00F53108" w:rsidP="00006A0B">
      <w:pPr>
        <w:pStyle w:val="ListParagraph"/>
        <w:numPr>
          <w:ilvl w:val="0"/>
          <w:numId w:val="35"/>
        </w:numPr>
        <w:spacing w:after="0"/>
        <w:ind w:left="709" w:hanging="425"/>
        <w:jc w:val="both"/>
      </w:pPr>
      <w:r w:rsidRPr="00D3207A">
        <w:t xml:space="preserve">Without prejudice to the proportionality assessment and the first paragraph of this guideline, insurance and reinsurance undertakings should consider using, in order to allocate </w:t>
      </w:r>
      <w:commentRangeStart w:id="4"/>
      <w:r w:rsidRPr="003D243F">
        <w:t>overhead</w:t>
      </w:r>
      <w:r w:rsidRPr="00D3207A">
        <w:t xml:space="preserve"> expenses</w:t>
      </w:r>
      <w:commentRangeEnd w:id="4"/>
      <w:r w:rsidR="00AF4D0D" w:rsidRPr="003D243F">
        <w:commentReference w:id="4"/>
      </w:r>
      <w:r w:rsidR="00BE1E2D">
        <w:t xml:space="preserve"> over time</w:t>
      </w:r>
      <w:r w:rsidRPr="00D3207A">
        <w:t>, the simplification</w:t>
      </w:r>
      <w:r w:rsidR="00AF4D0D">
        <w:t xml:space="preserve"> outlined in Technical Annex I</w:t>
      </w:r>
      <w:r w:rsidRPr="00D3207A">
        <w:t>, when the following conditions are met:</w:t>
      </w:r>
    </w:p>
    <w:p w14:paraId="2AB50277" w14:textId="65E216CC" w:rsidR="00CB2766" w:rsidRPr="00D3207A" w:rsidRDefault="00BA5CA8" w:rsidP="003D243F">
      <w:pPr>
        <w:pStyle w:val="ListParagraph"/>
        <w:spacing w:after="0"/>
        <w:ind w:left="993" w:hanging="284"/>
        <w:jc w:val="both"/>
      </w:pPr>
      <w:r w:rsidRPr="00D3207A">
        <w:t>a)</w:t>
      </w:r>
      <w:r w:rsidR="003D243F">
        <w:tab/>
      </w:r>
      <w:r w:rsidRPr="00D3207A">
        <w:t>the insurance or reinsurance undertaking pursues annually renewable business</w:t>
      </w:r>
      <w:r w:rsidR="002914D9">
        <w:t>;</w:t>
      </w:r>
    </w:p>
    <w:p w14:paraId="2D2CD7CC" w14:textId="438B280C" w:rsidR="00CB2766" w:rsidRPr="00D3207A" w:rsidRDefault="00BA5CA8" w:rsidP="003D243F">
      <w:pPr>
        <w:pStyle w:val="ListParagraph"/>
        <w:spacing w:after="0"/>
        <w:ind w:left="993" w:hanging="284"/>
        <w:jc w:val="both"/>
      </w:pPr>
      <w:r w:rsidRPr="00D3207A">
        <w:t>b)</w:t>
      </w:r>
      <w:r w:rsidR="003D243F">
        <w:tab/>
      </w:r>
      <w:r w:rsidRPr="00D3207A">
        <w:t>the renewals must be reputed to be new business according</w:t>
      </w:r>
      <w:r w:rsidR="002914D9">
        <w:t xml:space="preserve"> to</w:t>
      </w:r>
      <w:r w:rsidRPr="00D3207A">
        <w:t xml:space="preserve"> the boundaries of the insurance contract</w:t>
      </w:r>
      <w:r w:rsidR="002914D9">
        <w:t>;</w:t>
      </w:r>
    </w:p>
    <w:p w14:paraId="7EB0A46D" w14:textId="373CFE90" w:rsidR="00CB2766" w:rsidRPr="00D3207A" w:rsidRDefault="00BA5CA8" w:rsidP="003D243F">
      <w:pPr>
        <w:pStyle w:val="ListParagraph"/>
        <w:spacing w:after="0"/>
        <w:ind w:left="993" w:hanging="284"/>
        <w:jc w:val="both"/>
      </w:pPr>
      <w:r w:rsidRPr="00D3207A">
        <w:t>c)</w:t>
      </w:r>
      <w:r w:rsidR="003D243F">
        <w:tab/>
      </w:r>
      <w:r w:rsidRPr="00D3207A">
        <w:t>the claims occur uniformly during the coverage period.</w:t>
      </w:r>
    </w:p>
    <w:p w14:paraId="43428FF8" w14:textId="6B99FE6C" w:rsidR="000B6745" w:rsidRPr="00D3207A" w:rsidRDefault="000B6745" w:rsidP="005D263F">
      <w:pPr>
        <w:spacing w:after="0"/>
        <w:jc w:val="both"/>
      </w:pPr>
    </w:p>
    <w:p w14:paraId="593AF59A" w14:textId="390C28CF" w:rsidR="003E706A" w:rsidRPr="00D3207A" w:rsidRDefault="003E706A" w:rsidP="005D263F">
      <w:pPr>
        <w:spacing w:after="0"/>
        <w:jc w:val="both"/>
        <w:rPr>
          <w:b/>
          <w:bCs/>
        </w:rPr>
      </w:pPr>
      <w:r w:rsidRPr="00D3207A">
        <w:rPr>
          <w:b/>
          <w:bCs/>
        </w:rPr>
        <w:t>Guideline 31 – Changing the approach to the split of overhead expenses</w:t>
      </w:r>
    </w:p>
    <w:p w14:paraId="22867055" w14:textId="77777777" w:rsidR="00CB2766" w:rsidRPr="00D3207A" w:rsidRDefault="00CB2766" w:rsidP="005D263F">
      <w:pPr>
        <w:spacing w:after="0"/>
        <w:jc w:val="both"/>
      </w:pPr>
    </w:p>
    <w:p w14:paraId="6CDAD52F" w14:textId="32EEFCFA" w:rsidR="003E706A" w:rsidRPr="00D3207A" w:rsidRDefault="003E706A" w:rsidP="005D263F">
      <w:pPr>
        <w:pStyle w:val="ListParagraph"/>
        <w:spacing w:after="0"/>
        <w:jc w:val="both"/>
      </w:pPr>
      <w:r w:rsidRPr="00D3207A">
        <w:t>Insurance and reinsurance undertakings should allocate overhead expenses to existing and future business on a consistent basis over time, and should only change the basis of allocation if a new approach better reflects the current situation.</w:t>
      </w:r>
    </w:p>
    <w:p w14:paraId="27FF202B" w14:textId="77777777" w:rsidR="00CB2766" w:rsidRPr="00D3207A" w:rsidRDefault="00CB2766" w:rsidP="005D263F">
      <w:pPr>
        <w:spacing w:after="0"/>
        <w:jc w:val="both"/>
      </w:pPr>
    </w:p>
    <w:p w14:paraId="2231561A" w14:textId="02724BDC" w:rsidR="003E706A" w:rsidRPr="00D3207A" w:rsidRDefault="003E706A" w:rsidP="005D263F">
      <w:pPr>
        <w:spacing w:after="0"/>
        <w:jc w:val="both"/>
        <w:rPr>
          <w:b/>
          <w:bCs/>
        </w:rPr>
      </w:pPr>
      <w:r w:rsidRPr="00D3207A">
        <w:rPr>
          <w:b/>
          <w:bCs/>
        </w:rPr>
        <w:t xml:space="preserve">Projection of </w:t>
      </w:r>
      <w:r w:rsidR="002914D9">
        <w:rPr>
          <w:b/>
          <w:bCs/>
        </w:rPr>
        <w:t>e</w:t>
      </w:r>
      <w:r w:rsidRPr="00D3207A">
        <w:rPr>
          <w:b/>
          <w:bCs/>
        </w:rPr>
        <w:t>xpenses</w:t>
      </w:r>
    </w:p>
    <w:p w14:paraId="37CA8749" w14:textId="77777777" w:rsidR="003D243F" w:rsidRPr="00D3207A" w:rsidRDefault="003D243F" w:rsidP="005D263F">
      <w:pPr>
        <w:spacing w:after="0"/>
        <w:jc w:val="both"/>
        <w:rPr>
          <w:b/>
          <w:bCs/>
        </w:rPr>
      </w:pPr>
    </w:p>
    <w:p w14:paraId="59C0D7D2" w14:textId="162701D3" w:rsidR="003E706A" w:rsidRPr="00D3207A" w:rsidRDefault="003E706A" w:rsidP="005D263F">
      <w:pPr>
        <w:spacing w:after="0"/>
        <w:jc w:val="both"/>
        <w:rPr>
          <w:b/>
          <w:bCs/>
        </w:rPr>
      </w:pPr>
      <w:r w:rsidRPr="00D3207A">
        <w:rPr>
          <w:b/>
          <w:bCs/>
        </w:rPr>
        <w:t>Guideline 32 – Consistency of expenses with other cash-flows</w:t>
      </w:r>
    </w:p>
    <w:p w14:paraId="717DADDA" w14:textId="77777777" w:rsidR="00C470AA" w:rsidRPr="00D3207A" w:rsidRDefault="00C470AA" w:rsidP="005D263F">
      <w:pPr>
        <w:spacing w:after="0"/>
        <w:jc w:val="both"/>
      </w:pPr>
    </w:p>
    <w:p w14:paraId="4046D1CC" w14:textId="75D4D9B0" w:rsidR="003E706A" w:rsidRPr="00D3207A" w:rsidRDefault="003E706A" w:rsidP="005D263F">
      <w:pPr>
        <w:pStyle w:val="ListParagraph"/>
        <w:spacing w:after="0"/>
        <w:jc w:val="both"/>
      </w:pPr>
      <w:r w:rsidRPr="00D3207A">
        <w:lastRenderedPageBreak/>
        <w:t>Insurance and reinsurance undertakings should allocate expenses in the cash-flow projection so that the timing of expense cash-flows is consistent with the timing of other cash in-flows and cash out-flows required to settle the insurance and reinsurance obligations.</w:t>
      </w:r>
    </w:p>
    <w:p w14:paraId="4C415B07" w14:textId="77777777" w:rsidR="003D243F" w:rsidRPr="00D3207A" w:rsidRDefault="003D243F" w:rsidP="005D263F">
      <w:pPr>
        <w:spacing w:after="0"/>
        <w:jc w:val="both"/>
      </w:pPr>
    </w:p>
    <w:p w14:paraId="77EB605D" w14:textId="1DB7763B" w:rsidR="003E706A" w:rsidRPr="00D3207A" w:rsidRDefault="003E706A" w:rsidP="005D263F">
      <w:pPr>
        <w:spacing w:after="0"/>
        <w:jc w:val="both"/>
        <w:rPr>
          <w:b/>
          <w:bCs/>
        </w:rPr>
      </w:pPr>
      <w:r w:rsidRPr="00D3207A">
        <w:rPr>
          <w:b/>
          <w:bCs/>
        </w:rPr>
        <w:t>Guideline 33 – Changes in expenses</w:t>
      </w:r>
    </w:p>
    <w:p w14:paraId="486E5562" w14:textId="77777777" w:rsidR="00C470AA" w:rsidRPr="00D3207A" w:rsidRDefault="00C470AA" w:rsidP="005D263F">
      <w:pPr>
        <w:spacing w:after="0"/>
        <w:jc w:val="both"/>
      </w:pPr>
    </w:p>
    <w:p w14:paraId="63A18C20" w14:textId="4374E4AA" w:rsidR="00C470AA" w:rsidRPr="00D3207A" w:rsidRDefault="00C470AA" w:rsidP="005D263F">
      <w:pPr>
        <w:pStyle w:val="ListParagraph"/>
        <w:spacing w:after="0"/>
        <w:jc w:val="both"/>
      </w:pPr>
      <w:r w:rsidRPr="00D3207A">
        <w:t>Insurance and reinsurance undertakings should ensure that assumptions with respect to the evolution of expenses over time, including future</w:t>
      </w:r>
      <w:r w:rsidR="006E03C3" w:rsidRPr="00D3207A">
        <w:t xml:space="preserve"> </w:t>
      </w:r>
      <w:r w:rsidRPr="00D3207A">
        <w:t>expenses arising from commitments made on or prior to the valuation date, are appropriate and consider the nature of the expenses involved. Insurance and reinsurance undertakings should make an allowance for inflation that is consistent with the economic assumptions made and with dependency of expenses on other cash</w:t>
      </w:r>
      <w:r w:rsidR="00BE1E2D">
        <w:t>-</w:t>
      </w:r>
      <w:r w:rsidRPr="00D3207A">
        <w:t>flows of the contract.</w:t>
      </w:r>
    </w:p>
    <w:p w14:paraId="59F8CF4B" w14:textId="77777777" w:rsidR="00707677" w:rsidRPr="00D3207A" w:rsidRDefault="00707677" w:rsidP="005D263F">
      <w:pPr>
        <w:pStyle w:val="ListParagraph"/>
        <w:spacing w:after="0"/>
        <w:jc w:val="both"/>
      </w:pPr>
    </w:p>
    <w:p w14:paraId="2C975B64" w14:textId="1C0C6501" w:rsidR="003E706A" w:rsidRPr="00D3207A" w:rsidRDefault="003E706A" w:rsidP="005D263F">
      <w:pPr>
        <w:spacing w:after="0"/>
        <w:jc w:val="both"/>
        <w:rPr>
          <w:b/>
          <w:bCs/>
        </w:rPr>
      </w:pPr>
      <w:r w:rsidRPr="00D3207A">
        <w:rPr>
          <w:b/>
          <w:bCs/>
        </w:rPr>
        <w:t>Guideline 34 – Simplifications in respect of expenses</w:t>
      </w:r>
    </w:p>
    <w:p w14:paraId="327E07EF" w14:textId="77777777" w:rsidR="00974859" w:rsidRPr="00D3207A" w:rsidRDefault="00974859" w:rsidP="005D263F">
      <w:pPr>
        <w:spacing w:after="0"/>
        <w:jc w:val="both"/>
      </w:pPr>
    </w:p>
    <w:p w14:paraId="324A7580" w14:textId="4A3CE268" w:rsidR="003E706A" w:rsidRPr="00D3207A" w:rsidRDefault="003E706A" w:rsidP="005D263F">
      <w:pPr>
        <w:pStyle w:val="ListParagraph"/>
        <w:numPr>
          <w:ilvl w:val="0"/>
          <w:numId w:val="38"/>
        </w:numPr>
        <w:spacing w:after="0"/>
        <w:jc w:val="both"/>
      </w:pPr>
      <w:r w:rsidRPr="00D3207A">
        <w:t>When assessing the nature, scale and complexity of risks underlying the expenses which are taken into account in the calculation of the technical provisions, insurance and reinsurance undertakings should take</w:t>
      </w:r>
      <w:r w:rsidR="006E03C3" w:rsidRPr="00D3207A">
        <w:t xml:space="preserve"> </w:t>
      </w:r>
      <w:r w:rsidRPr="00D3207A">
        <w:t>into</w:t>
      </w:r>
      <w:r w:rsidR="006E03C3" w:rsidRPr="00D3207A">
        <w:t xml:space="preserve"> </w:t>
      </w:r>
      <w:r w:rsidRPr="00D3207A">
        <w:t>account, inter alia, the uncertainty of future expense cash-flows, and any event that can change the amount, frequency and severity of expense cash-flows.</w:t>
      </w:r>
    </w:p>
    <w:p w14:paraId="01F7D84F" w14:textId="77777777" w:rsidR="00BA5CA8" w:rsidRPr="00D3207A" w:rsidRDefault="00BA5CA8" w:rsidP="005D263F">
      <w:pPr>
        <w:spacing w:after="0"/>
        <w:jc w:val="both"/>
      </w:pPr>
    </w:p>
    <w:p w14:paraId="766D6427" w14:textId="5919FB30" w:rsidR="003E706A" w:rsidRPr="00D3207A" w:rsidRDefault="003E706A" w:rsidP="005D263F">
      <w:pPr>
        <w:pStyle w:val="ListParagraph"/>
        <w:numPr>
          <w:ilvl w:val="0"/>
          <w:numId w:val="38"/>
        </w:numPr>
        <w:spacing w:after="0"/>
        <w:jc w:val="both"/>
      </w:pPr>
      <w:r w:rsidRPr="00D3207A">
        <w:t>Undertakings should also take into account the type of expenses</w:t>
      </w:r>
      <w:r w:rsidR="006E03C3" w:rsidRPr="00D3207A">
        <w:t xml:space="preserve"> </w:t>
      </w:r>
      <w:r w:rsidRPr="00D3207A">
        <w:t>and</w:t>
      </w:r>
      <w:r w:rsidR="006E03C3" w:rsidRPr="00D3207A">
        <w:t xml:space="preserve"> </w:t>
      </w:r>
      <w:r w:rsidRPr="00D3207A">
        <w:t>the degree of correlation between different types of expenses.</w:t>
      </w:r>
    </w:p>
    <w:p w14:paraId="6A48E547" w14:textId="77777777" w:rsidR="00742783" w:rsidRPr="00D3207A" w:rsidRDefault="00742783" w:rsidP="005D263F">
      <w:pPr>
        <w:pStyle w:val="ListParagraph"/>
        <w:spacing w:after="0"/>
      </w:pPr>
    </w:p>
    <w:p w14:paraId="342C2040" w14:textId="3189E63B" w:rsidR="003E706A" w:rsidRPr="00D3207A" w:rsidRDefault="003E706A" w:rsidP="005D263F">
      <w:pPr>
        <w:pStyle w:val="ListParagraph"/>
        <w:numPr>
          <w:ilvl w:val="0"/>
          <w:numId w:val="38"/>
        </w:numPr>
        <w:spacing w:after="0"/>
        <w:jc w:val="both"/>
      </w:pPr>
      <w:r w:rsidRPr="00D3207A">
        <w:t>When using a simplification for the projection of expenses based on a model which uses information on current and past expense loadings to project future expense loadings including inflation, undertakings should analyse current and historical expenses, giving consideration to,</w:t>
      </w:r>
      <w:r w:rsidR="006E03C3" w:rsidRPr="00D3207A">
        <w:t xml:space="preserve"> </w:t>
      </w:r>
      <w:r w:rsidRPr="00D3207A">
        <w:t>inter</w:t>
      </w:r>
      <w:r w:rsidR="006E03C3" w:rsidRPr="00D3207A">
        <w:t xml:space="preserve"> </w:t>
      </w:r>
      <w:r w:rsidRPr="00D3207A">
        <w:t>alia,</w:t>
      </w:r>
      <w:r w:rsidR="006E03C3" w:rsidRPr="00D3207A">
        <w:t xml:space="preserve"> </w:t>
      </w:r>
      <w:r w:rsidRPr="00D3207A">
        <w:t>where</w:t>
      </w:r>
      <w:r w:rsidR="006E03C3" w:rsidRPr="00D3207A">
        <w:t xml:space="preserve"> </w:t>
      </w:r>
      <w:r w:rsidRPr="00D3207A">
        <w:t>expenses</w:t>
      </w:r>
      <w:r w:rsidR="006E03C3" w:rsidRPr="00D3207A">
        <w:t xml:space="preserve"> </w:t>
      </w:r>
      <w:r w:rsidRPr="00D3207A">
        <w:t>occur</w:t>
      </w:r>
      <w:r w:rsidR="006E03C3" w:rsidRPr="00D3207A">
        <w:t xml:space="preserve"> </w:t>
      </w:r>
      <w:r w:rsidRPr="00D3207A">
        <w:t xml:space="preserve">and the factors that influence the expenses. Undertakings should include in the proportionality assessment an analysis of how the expenses are related to the size and nature of insurance portfolios. Undertakings should not apply the simplification where expenses have substantially changed or are expected not to cover all but only part of the expenses required to </w:t>
      </w:r>
      <w:r w:rsidR="00BE1E2D">
        <w:t>service</w:t>
      </w:r>
      <w:r w:rsidRPr="00D3207A">
        <w:t xml:space="preserve"> insurance and reinsurance obligations.</w:t>
      </w:r>
    </w:p>
    <w:p w14:paraId="15408E75" w14:textId="77777777" w:rsidR="00BA5CA8" w:rsidRPr="00D3207A" w:rsidRDefault="00BA5CA8" w:rsidP="005D263F">
      <w:pPr>
        <w:spacing w:after="0"/>
        <w:jc w:val="both"/>
      </w:pPr>
    </w:p>
    <w:p w14:paraId="1BDDFA50" w14:textId="228B9A20" w:rsidR="003E706A" w:rsidRPr="00D3207A" w:rsidRDefault="003E706A" w:rsidP="005D263F">
      <w:pPr>
        <w:spacing w:after="0"/>
        <w:jc w:val="both"/>
        <w:rPr>
          <w:b/>
          <w:bCs/>
        </w:rPr>
      </w:pPr>
      <w:r w:rsidRPr="00D3207A">
        <w:rPr>
          <w:b/>
          <w:bCs/>
        </w:rPr>
        <w:t>Treatment of financial guarantees and contractual options</w:t>
      </w:r>
    </w:p>
    <w:p w14:paraId="60A49165" w14:textId="77777777" w:rsidR="00974859" w:rsidRPr="00D3207A" w:rsidRDefault="00974859" w:rsidP="005D263F">
      <w:pPr>
        <w:spacing w:after="0"/>
        <w:jc w:val="both"/>
        <w:rPr>
          <w:b/>
          <w:bCs/>
        </w:rPr>
      </w:pPr>
    </w:p>
    <w:p w14:paraId="2DD89858" w14:textId="2FA8C880" w:rsidR="003E706A" w:rsidRPr="00D3207A" w:rsidRDefault="003E706A" w:rsidP="005D263F">
      <w:pPr>
        <w:spacing w:after="0"/>
        <w:jc w:val="both"/>
        <w:rPr>
          <w:b/>
          <w:bCs/>
        </w:rPr>
      </w:pPr>
      <w:r w:rsidRPr="00D3207A">
        <w:rPr>
          <w:b/>
          <w:bCs/>
        </w:rPr>
        <w:t>Guideline 35 – Charges for embedded options</w:t>
      </w:r>
    </w:p>
    <w:p w14:paraId="7920B2F5" w14:textId="77777777" w:rsidR="00974859" w:rsidRPr="00D3207A" w:rsidRDefault="00974859" w:rsidP="005D263F">
      <w:pPr>
        <w:spacing w:after="0"/>
        <w:jc w:val="both"/>
      </w:pPr>
    </w:p>
    <w:p w14:paraId="1E334B69" w14:textId="646B0C5F" w:rsidR="003E706A" w:rsidRPr="00D3207A" w:rsidRDefault="003E706A" w:rsidP="005D263F">
      <w:pPr>
        <w:pStyle w:val="ListParagraph"/>
        <w:spacing w:after="0"/>
        <w:jc w:val="both"/>
      </w:pPr>
      <w:r w:rsidRPr="00D3207A">
        <w:t>Insurance and reinsurance undertakings should explicitly take into account amounts charged to policy holders relating to embedded options.</w:t>
      </w:r>
    </w:p>
    <w:p w14:paraId="64EDF4E0" w14:textId="77777777" w:rsidR="00FC3F7B" w:rsidRDefault="00FC3F7B" w:rsidP="005D263F">
      <w:pPr>
        <w:spacing w:after="0"/>
        <w:jc w:val="both"/>
        <w:rPr>
          <w:b/>
          <w:bCs/>
        </w:rPr>
      </w:pPr>
    </w:p>
    <w:p w14:paraId="30E0C34D" w14:textId="558B1EA6" w:rsidR="003E706A" w:rsidRPr="00D3207A" w:rsidRDefault="003E706A" w:rsidP="005D263F">
      <w:pPr>
        <w:spacing w:after="0"/>
        <w:jc w:val="both"/>
        <w:rPr>
          <w:b/>
          <w:bCs/>
        </w:rPr>
      </w:pPr>
      <w:r w:rsidRPr="00D3207A">
        <w:rPr>
          <w:b/>
          <w:bCs/>
        </w:rPr>
        <w:t xml:space="preserve">Guideline 36 </w:t>
      </w:r>
      <w:r w:rsidR="00FA1007">
        <w:rPr>
          <w:b/>
          <w:bCs/>
        </w:rPr>
        <w:t>–</w:t>
      </w:r>
      <w:r w:rsidRPr="00D3207A">
        <w:rPr>
          <w:b/>
          <w:bCs/>
        </w:rPr>
        <w:t xml:space="preserve"> Appropriateness of assumptions</w:t>
      </w:r>
    </w:p>
    <w:p w14:paraId="6A38B66E" w14:textId="77777777" w:rsidR="00974859" w:rsidRPr="00D3207A" w:rsidRDefault="00974859" w:rsidP="005D263F">
      <w:pPr>
        <w:spacing w:after="0"/>
        <w:jc w:val="both"/>
      </w:pPr>
    </w:p>
    <w:p w14:paraId="791D7E9E" w14:textId="595B8818" w:rsidR="003E706A" w:rsidRPr="00D3207A" w:rsidRDefault="003E706A" w:rsidP="005D263F">
      <w:pPr>
        <w:pStyle w:val="ListParagraph"/>
        <w:spacing w:after="0"/>
        <w:jc w:val="both"/>
      </w:pPr>
      <w:r w:rsidRPr="00D3207A">
        <w:t>Insurance and reinsurance undertakings should ensure that</w:t>
      </w:r>
      <w:r w:rsidR="006E03C3" w:rsidRPr="00D3207A">
        <w:t xml:space="preserve"> </w:t>
      </w:r>
      <w:r w:rsidRPr="00D3207A">
        <w:t>the</w:t>
      </w:r>
      <w:r w:rsidR="006E03C3" w:rsidRPr="00D3207A">
        <w:t xml:space="preserve"> </w:t>
      </w:r>
      <w:r w:rsidRPr="00D3207A">
        <w:t xml:space="preserve">assumptions used in the valuation of contractual options and financial guarantees are consistent with current market data, current market practice, policyholder </w:t>
      </w:r>
      <w:r w:rsidR="00BE1E2D">
        <w:t xml:space="preserve">behaviour </w:t>
      </w:r>
      <w:r w:rsidRPr="00D3207A">
        <w:t xml:space="preserve">and management decision </w:t>
      </w:r>
      <w:r w:rsidRPr="00D3207A">
        <w:lastRenderedPageBreak/>
        <w:t>specific to the characteristics of the business and the undertaking. Insurance and reinsurance undertakings should also consider the impact of adverse market conditions and trends and establish a regular process for updating and ensuring that those assumptions are still realistic taking into account all additional information since the last calculation of technical provisions.</w:t>
      </w:r>
    </w:p>
    <w:p w14:paraId="5F9E0266" w14:textId="77777777" w:rsidR="00974859" w:rsidRPr="00D3207A" w:rsidRDefault="00974859" w:rsidP="005D263F">
      <w:pPr>
        <w:spacing w:after="0"/>
        <w:jc w:val="both"/>
      </w:pPr>
    </w:p>
    <w:p w14:paraId="7B8F7386" w14:textId="56D12E6D" w:rsidR="003E706A" w:rsidRPr="00D3207A" w:rsidRDefault="003E706A" w:rsidP="005D263F">
      <w:pPr>
        <w:spacing w:after="0"/>
        <w:jc w:val="both"/>
        <w:rPr>
          <w:b/>
          <w:bCs/>
        </w:rPr>
      </w:pPr>
      <w:r w:rsidRPr="00D3207A">
        <w:rPr>
          <w:b/>
          <w:bCs/>
        </w:rPr>
        <w:t xml:space="preserve">Guideline 37 </w:t>
      </w:r>
      <w:r w:rsidR="00FA1007">
        <w:rPr>
          <w:b/>
          <w:bCs/>
        </w:rPr>
        <w:t>–</w:t>
      </w:r>
      <w:r w:rsidRPr="00D3207A">
        <w:rPr>
          <w:b/>
          <w:bCs/>
        </w:rPr>
        <w:t xml:space="preserve"> Assumptions on policyholder behaviour</w:t>
      </w:r>
    </w:p>
    <w:p w14:paraId="3687F175" w14:textId="77777777" w:rsidR="00974859" w:rsidRPr="00D3207A" w:rsidRDefault="00974859" w:rsidP="005D263F">
      <w:pPr>
        <w:spacing w:after="0"/>
        <w:jc w:val="both"/>
      </w:pPr>
    </w:p>
    <w:p w14:paraId="7C2D9C7A" w14:textId="07E29E7D" w:rsidR="003E706A" w:rsidRPr="00D3207A" w:rsidRDefault="003E706A" w:rsidP="005D263F">
      <w:pPr>
        <w:pStyle w:val="ListParagraph"/>
        <w:spacing w:after="0"/>
        <w:jc w:val="both"/>
      </w:pPr>
      <w:r w:rsidRPr="00D3207A">
        <w:t>Insurance and reinsurance undertakings should ensure that the assumptions relating to policyholder behaviour are founded in statistical and empirical evidence, where available.</w:t>
      </w:r>
      <w:r w:rsidR="006E03C3" w:rsidRPr="00D3207A">
        <w:t xml:space="preserve"> </w:t>
      </w:r>
      <w:r w:rsidRPr="00D3207A">
        <w:t>Insurance and reinsurance undertakings should consider the extent to which policyholders exercise contractual options in a financially rational manner when deriving such assumptions. For this purpose, undertakings should give consideration to policyholders’ awareness of the value of policy options and to policyholders’ possible reactions to the changing financial position of the undertaking.</w:t>
      </w:r>
    </w:p>
    <w:p w14:paraId="4C49D9E8" w14:textId="77777777" w:rsidR="00547012" w:rsidRPr="00D3207A" w:rsidRDefault="00547012" w:rsidP="005D263F">
      <w:pPr>
        <w:spacing w:after="0"/>
        <w:jc w:val="both"/>
      </w:pPr>
    </w:p>
    <w:p w14:paraId="68A09661" w14:textId="52FB9F8B" w:rsidR="00547012" w:rsidRPr="00D3207A" w:rsidRDefault="00547012" w:rsidP="005D263F">
      <w:pPr>
        <w:spacing w:after="0"/>
        <w:jc w:val="both"/>
        <w:rPr>
          <w:b/>
          <w:bCs/>
        </w:rPr>
      </w:pPr>
      <w:r w:rsidRPr="00D3207A">
        <w:rPr>
          <w:b/>
          <w:bCs/>
        </w:rPr>
        <w:t>Guideline 37A – Dynamic policyholder behaviour</w:t>
      </w:r>
      <w:r w:rsidRPr="00D3207A">
        <w:rPr>
          <w:b/>
          <w:bCs/>
        </w:rPr>
        <w:cr/>
      </w:r>
    </w:p>
    <w:p w14:paraId="208E2A63" w14:textId="755C9E50" w:rsidR="00547012" w:rsidRPr="00D3207A" w:rsidRDefault="00547012" w:rsidP="005D263F">
      <w:pPr>
        <w:pStyle w:val="ListParagraph"/>
        <w:numPr>
          <w:ilvl w:val="0"/>
          <w:numId w:val="42"/>
        </w:numPr>
        <w:spacing w:after="0"/>
        <w:jc w:val="both"/>
      </w:pPr>
      <w:r w:rsidRPr="00D3207A">
        <w:t>Insurance and reinsurance undertakings should base their assumptions on the exercise rate of relevant options on:</w:t>
      </w:r>
    </w:p>
    <w:p w14:paraId="08FCE3F2" w14:textId="500E2EF8" w:rsidR="00547012" w:rsidRPr="00D3207A" w:rsidRDefault="00547012" w:rsidP="005D263F">
      <w:pPr>
        <w:pStyle w:val="ListParagraph"/>
        <w:numPr>
          <w:ilvl w:val="1"/>
          <w:numId w:val="42"/>
        </w:numPr>
        <w:spacing w:after="0"/>
        <w:ind w:left="1134" w:hanging="283"/>
        <w:jc w:val="both"/>
      </w:pPr>
      <w:r w:rsidRPr="00D3207A">
        <w:t>statistical and empirical evidence, where it is representative of future conduct, and</w:t>
      </w:r>
    </w:p>
    <w:p w14:paraId="047C6D56" w14:textId="3D8260C0" w:rsidR="00547012" w:rsidRPr="00D3207A" w:rsidRDefault="00547012" w:rsidP="005D263F">
      <w:pPr>
        <w:pStyle w:val="ListParagraph"/>
        <w:numPr>
          <w:ilvl w:val="1"/>
          <w:numId w:val="42"/>
        </w:numPr>
        <w:spacing w:after="0"/>
        <w:ind w:left="1134" w:hanging="283"/>
        <w:jc w:val="both"/>
      </w:pPr>
      <w:r w:rsidRPr="00D3207A">
        <w:t>expert judgment on sound rationale and with clear documentation.</w:t>
      </w:r>
    </w:p>
    <w:p w14:paraId="5CF2C5A0" w14:textId="781197F2" w:rsidR="00547012" w:rsidRPr="00D3207A" w:rsidRDefault="00547012" w:rsidP="005D263F">
      <w:pPr>
        <w:spacing w:after="0"/>
        <w:jc w:val="both"/>
      </w:pPr>
    </w:p>
    <w:p w14:paraId="5BFD2C6E" w14:textId="468827A3" w:rsidR="00547012" w:rsidRPr="00D3207A" w:rsidRDefault="00547012" w:rsidP="005D263F">
      <w:pPr>
        <w:pStyle w:val="ListParagraph"/>
        <w:numPr>
          <w:ilvl w:val="0"/>
          <w:numId w:val="42"/>
        </w:numPr>
        <w:spacing w:after="0"/>
        <w:jc w:val="both"/>
      </w:pPr>
      <w:r w:rsidRPr="00D3207A">
        <w:t>The lack of data for extreme scenarios should not be considered alone to be a reason to avoid dynamic policyholder behaviour modelling and/or the interaction with future management actions.</w:t>
      </w:r>
    </w:p>
    <w:p w14:paraId="6D5BBF2B" w14:textId="77777777" w:rsidR="00547012" w:rsidRPr="00D3207A" w:rsidRDefault="00547012" w:rsidP="005D263F">
      <w:pPr>
        <w:spacing w:after="0"/>
        <w:jc w:val="both"/>
      </w:pPr>
    </w:p>
    <w:p w14:paraId="47A974FE" w14:textId="3EBBDC0B" w:rsidR="00547012" w:rsidRPr="00D3207A" w:rsidRDefault="00547012" w:rsidP="005D263F">
      <w:pPr>
        <w:spacing w:after="0"/>
        <w:jc w:val="both"/>
        <w:rPr>
          <w:b/>
          <w:bCs/>
        </w:rPr>
      </w:pPr>
      <w:r w:rsidRPr="00D3207A">
        <w:rPr>
          <w:b/>
          <w:bCs/>
        </w:rPr>
        <w:t>Guideline 37B – Bidirectional assumptions</w:t>
      </w:r>
    </w:p>
    <w:p w14:paraId="47F55EDF" w14:textId="2B4578CA" w:rsidR="00547012" w:rsidRPr="00D3207A" w:rsidRDefault="00547012" w:rsidP="005D263F">
      <w:pPr>
        <w:spacing w:after="0"/>
        <w:jc w:val="both"/>
      </w:pPr>
    </w:p>
    <w:p w14:paraId="2337A6D1" w14:textId="13850302" w:rsidR="00547012" w:rsidRPr="00D3207A" w:rsidRDefault="00547012" w:rsidP="005D263F">
      <w:pPr>
        <w:pStyle w:val="ListParagraph"/>
        <w:spacing w:after="0"/>
        <w:jc w:val="both"/>
      </w:pPr>
      <w:r w:rsidRPr="00D3207A">
        <w:t>When setting the assumptions on dynamic policyholder behaviour, insurance and reinsurance undertakings should consider that the dependency on the trigger event and the exercise rate of the option is usually bidirectional, i.e. both an increase and a decrease should be considered depending on the direction of the trigger event.</w:t>
      </w:r>
    </w:p>
    <w:p w14:paraId="0FC8024A" w14:textId="77777777" w:rsidR="00547012" w:rsidRPr="00D3207A" w:rsidRDefault="00547012" w:rsidP="005D263F">
      <w:pPr>
        <w:spacing w:after="0"/>
        <w:jc w:val="both"/>
      </w:pPr>
    </w:p>
    <w:p w14:paraId="096172B3" w14:textId="3DB4DD1A" w:rsidR="00547012" w:rsidRPr="00D3207A" w:rsidRDefault="00547012" w:rsidP="005D263F">
      <w:pPr>
        <w:spacing w:after="0"/>
        <w:jc w:val="both"/>
        <w:rPr>
          <w:b/>
          <w:bCs/>
        </w:rPr>
      </w:pPr>
      <w:r w:rsidRPr="00D3207A">
        <w:rPr>
          <w:b/>
          <w:bCs/>
        </w:rPr>
        <w:t>Guideline 37C – Option to pay additional or different premiums</w:t>
      </w:r>
    </w:p>
    <w:p w14:paraId="5E92F5A0" w14:textId="77777777" w:rsidR="00547012" w:rsidRPr="00D3207A" w:rsidRDefault="00547012" w:rsidP="005D263F">
      <w:pPr>
        <w:spacing w:after="0"/>
        <w:jc w:val="both"/>
      </w:pPr>
    </w:p>
    <w:p w14:paraId="06B469CC" w14:textId="4900FE48" w:rsidR="00547012" w:rsidRPr="00D3207A" w:rsidRDefault="00547012" w:rsidP="005D263F">
      <w:pPr>
        <w:pStyle w:val="ListParagraph"/>
        <w:spacing w:after="0"/>
        <w:jc w:val="both"/>
      </w:pPr>
      <w:r w:rsidRPr="00D3207A">
        <w:t>Insurance and reinsurance undertakings should model all relevant contractual options when projecting the cash flows, including the option to pay additional premiums or to vary the amount of premiums to be paid that fall within contract boundaries.</w:t>
      </w:r>
    </w:p>
    <w:p w14:paraId="6622AD39" w14:textId="77777777" w:rsidR="00974859" w:rsidRPr="00D3207A" w:rsidRDefault="00974859" w:rsidP="005D263F">
      <w:pPr>
        <w:spacing w:after="0"/>
        <w:jc w:val="both"/>
        <w:rPr>
          <w:b/>
          <w:bCs/>
        </w:rPr>
      </w:pPr>
    </w:p>
    <w:p w14:paraId="7CD8E2E9" w14:textId="5607039E" w:rsidR="003E706A" w:rsidRPr="00D3207A" w:rsidRDefault="003E706A" w:rsidP="005D263F">
      <w:pPr>
        <w:spacing w:after="0"/>
        <w:jc w:val="both"/>
        <w:rPr>
          <w:b/>
          <w:bCs/>
        </w:rPr>
      </w:pPr>
      <w:r w:rsidRPr="00D3207A">
        <w:rPr>
          <w:b/>
          <w:bCs/>
        </w:rPr>
        <w:t>Future management actions</w:t>
      </w:r>
    </w:p>
    <w:p w14:paraId="7D5B8DE6" w14:textId="77777777" w:rsidR="00974859" w:rsidRPr="00D3207A" w:rsidRDefault="00974859" w:rsidP="005D263F">
      <w:pPr>
        <w:spacing w:after="0"/>
        <w:jc w:val="both"/>
        <w:rPr>
          <w:b/>
          <w:bCs/>
        </w:rPr>
      </w:pPr>
    </w:p>
    <w:p w14:paraId="278608BF" w14:textId="024DEA39" w:rsidR="003E706A" w:rsidRDefault="003E706A" w:rsidP="005D263F">
      <w:pPr>
        <w:spacing w:after="0"/>
        <w:jc w:val="both"/>
        <w:rPr>
          <w:b/>
          <w:bCs/>
        </w:rPr>
      </w:pPr>
      <w:r w:rsidRPr="00D3207A">
        <w:rPr>
          <w:b/>
          <w:bCs/>
        </w:rPr>
        <w:t>Guideline 38 – Allowance for future management actions</w:t>
      </w:r>
    </w:p>
    <w:p w14:paraId="021F358C" w14:textId="77777777" w:rsidR="003D243F" w:rsidRPr="00D3207A" w:rsidRDefault="003D243F" w:rsidP="005D263F">
      <w:pPr>
        <w:spacing w:after="0"/>
        <w:jc w:val="both"/>
        <w:rPr>
          <w:b/>
          <w:bCs/>
        </w:rPr>
      </w:pPr>
    </w:p>
    <w:p w14:paraId="14369047" w14:textId="77D291EA" w:rsidR="003E706A" w:rsidRPr="00D3207A" w:rsidRDefault="003E706A" w:rsidP="005D263F">
      <w:pPr>
        <w:pStyle w:val="ListParagraph"/>
        <w:spacing w:after="0"/>
        <w:jc w:val="both"/>
      </w:pPr>
      <w:r w:rsidRPr="00D3207A">
        <w:t>Insurance and reinsurance undertakings should be able to provide adequate justification where future management actions are ignored on the grounds of materiality.</w:t>
      </w:r>
    </w:p>
    <w:p w14:paraId="635418D9" w14:textId="77777777" w:rsidR="00547012" w:rsidRPr="00D3207A" w:rsidRDefault="00547012" w:rsidP="005D263F">
      <w:pPr>
        <w:spacing w:after="0"/>
        <w:jc w:val="both"/>
      </w:pPr>
    </w:p>
    <w:p w14:paraId="0C49A241" w14:textId="36185D86" w:rsidR="003E706A" w:rsidRPr="00D3207A" w:rsidRDefault="003E706A" w:rsidP="005D263F">
      <w:pPr>
        <w:spacing w:after="0"/>
        <w:jc w:val="both"/>
        <w:rPr>
          <w:b/>
          <w:bCs/>
        </w:rPr>
      </w:pPr>
      <w:r w:rsidRPr="00D3207A">
        <w:rPr>
          <w:b/>
          <w:bCs/>
        </w:rPr>
        <w:lastRenderedPageBreak/>
        <w:t xml:space="preserve">Guideline 39 </w:t>
      </w:r>
      <w:r w:rsidR="00FA1007">
        <w:rPr>
          <w:b/>
          <w:bCs/>
        </w:rPr>
        <w:t>–</w:t>
      </w:r>
      <w:r w:rsidRPr="00D3207A">
        <w:rPr>
          <w:b/>
          <w:bCs/>
        </w:rPr>
        <w:t xml:space="preserve"> Consistency of management actions with other assumptions</w:t>
      </w:r>
    </w:p>
    <w:p w14:paraId="342335D3" w14:textId="77777777" w:rsidR="00547012" w:rsidRPr="00D3207A" w:rsidRDefault="00547012" w:rsidP="005D263F">
      <w:pPr>
        <w:spacing w:after="0"/>
        <w:jc w:val="both"/>
      </w:pPr>
    </w:p>
    <w:p w14:paraId="7DBFF5D2" w14:textId="036A8428" w:rsidR="003E706A" w:rsidRPr="00D3207A" w:rsidRDefault="003E706A" w:rsidP="005D263F">
      <w:pPr>
        <w:pStyle w:val="ListParagraph"/>
        <w:spacing w:after="0"/>
        <w:jc w:val="both"/>
      </w:pPr>
      <w:r w:rsidRPr="00D3207A">
        <w:t>Insurance and reinsurance undertakings should take into account the impact of assumed management actions on other assumptions within a certain valuation scenario. In particular, undertakings should take into account the effects of a certain management action on policyholder behaviour or on the related expenses. Insurance and reinsurance undertakings should take account of relevant legal or regulatory constraints on management action. Moreover, for a given scenario undertakings should ensure that the assumed future management actions reflect</w:t>
      </w:r>
      <w:r w:rsidR="006E03C3" w:rsidRPr="00D3207A">
        <w:t xml:space="preserve"> </w:t>
      </w:r>
      <w:r w:rsidRPr="00D3207A">
        <w:t>the balance, which is consistent with the corporate planning, between the degree of competitiveness and the risk of dynamic lapses.</w:t>
      </w:r>
    </w:p>
    <w:p w14:paraId="0DA05FA8" w14:textId="77777777" w:rsidR="00547012" w:rsidRPr="00D3207A" w:rsidRDefault="00547012" w:rsidP="005D263F">
      <w:pPr>
        <w:spacing w:after="0"/>
        <w:jc w:val="both"/>
      </w:pPr>
    </w:p>
    <w:p w14:paraId="484673A6" w14:textId="0255EF1E" w:rsidR="003E706A" w:rsidRDefault="003E706A" w:rsidP="005D263F">
      <w:pPr>
        <w:spacing w:after="0"/>
        <w:jc w:val="both"/>
        <w:rPr>
          <w:b/>
          <w:bCs/>
        </w:rPr>
      </w:pPr>
      <w:r w:rsidRPr="00D3207A">
        <w:rPr>
          <w:b/>
          <w:bCs/>
        </w:rPr>
        <w:t>Guideline 40 – Interrelation with cedant undertaking</w:t>
      </w:r>
    </w:p>
    <w:p w14:paraId="35C2FF4D" w14:textId="77777777" w:rsidR="003D243F" w:rsidRPr="00D3207A" w:rsidRDefault="003D243F" w:rsidP="005D263F">
      <w:pPr>
        <w:spacing w:after="0"/>
        <w:jc w:val="both"/>
        <w:rPr>
          <w:b/>
          <w:bCs/>
        </w:rPr>
      </w:pPr>
    </w:p>
    <w:p w14:paraId="46580523" w14:textId="24F151F0" w:rsidR="003E706A" w:rsidRPr="00D3207A" w:rsidRDefault="003E706A" w:rsidP="005D263F">
      <w:pPr>
        <w:pStyle w:val="ListParagraph"/>
        <w:spacing w:after="0"/>
        <w:jc w:val="both"/>
      </w:pPr>
      <w:r w:rsidRPr="00D3207A">
        <w:t>Insurance and reinsurance undertakings should</w:t>
      </w:r>
      <w:r w:rsidR="006E03C3" w:rsidRPr="00D3207A">
        <w:t xml:space="preserve"> </w:t>
      </w:r>
      <w:r w:rsidRPr="00D3207A">
        <w:t>consider</w:t>
      </w:r>
      <w:r w:rsidR="006E03C3" w:rsidRPr="00D3207A">
        <w:t xml:space="preserve"> </w:t>
      </w:r>
      <w:r w:rsidRPr="00D3207A">
        <w:t>the</w:t>
      </w:r>
      <w:r w:rsidR="006E03C3" w:rsidRPr="00D3207A">
        <w:t xml:space="preserve"> </w:t>
      </w:r>
      <w:r w:rsidRPr="00D3207A">
        <w:t>future management actions</w:t>
      </w:r>
      <w:r w:rsidR="00317AC4">
        <w:t xml:space="preserve"> of the cedant (a company</w:t>
      </w:r>
      <w:r w:rsidRPr="00D3207A">
        <w:t xml:space="preserve"> whose risks are assumed by an insurance or reinsurance undertaking</w:t>
      </w:r>
      <w:r w:rsidR="00317AC4">
        <w:t>)</w:t>
      </w:r>
      <w:r w:rsidRPr="00D3207A">
        <w:t xml:space="preserve"> as policyholder behaviour, and estimate technical provisions based on reasonable assumptions for the cedant’s behaviour.</w:t>
      </w:r>
    </w:p>
    <w:p w14:paraId="11A65132" w14:textId="77777777" w:rsidR="00C91B4D" w:rsidRPr="00D3207A" w:rsidRDefault="00C91B4D" w:rsidP="005D263F">
      <w:pPr>
        <w:spacing w:after="0"/>
        <w:jc w:val="both"/>
        <w:rPr>
          <w:b/>
          <w:bCs/>
        </w:rPr>
      </w:pPr>
    </w:p>
    <w:p w14:paraId="406C0787" w14:textId="47E0AEFF" w:rsidR="00547012" w:rsidRPr="00D3207A" w:rsidRDefault="00547012" w:rsidP="005D263F">
      <w:pPr>
        <w:spacing w:after="0"/>
        <w:jc w:val="both"/>
        <w:rPr>
          <w:b/>
          <w:bCs/>
        </w:rPr>
      </w:pPr>
      <w:r w:rsidRPr="00D3207A">
        <w:rPr>
          <w:b/>
          <w:bCs/>
        </w:rPr>
        <w:t>Guideline 40A – Comprehensive management plan</w:t>
      </w:r>
    </w:p>
    <w:p w14:paraId="03340460" w14:textId="77777777" w:rsidR="0016770E" w:rsidRPr="00D3207A" w:rsidRDefault="0016770E" w:rsidP="005D263F">
      <w:pPr>
        <w:spacing w:after="0"/>
        <w:jc w:val="both"/>
      </w:pPr>
    </w:p>
    <w:p w14:paraId="07913698" w14:textId="78AB4E82" w:rsidR="004A7A73" w:rsidRPr="00D3207A" w:rsidRDefault="0016770E" w:rsidP="005D263F">
      <w:pPr>
        <w:pStyle w:val="ListParagraph"/>
        <w:spacing w:after="0"/>
        <w:jc w:val="both"/>
      </w:pPr>
      <w:r w:rsidRPr="00D3207A">
        <w:t>Insurance and reinsurance undertakings should ensure that the comprehensive future management actions plan that is approved by the administrative, management or supervisory body is either:</w:t>
      </w:r>
    </w:p>
    <w:p w14:paraId="21B3C9AB" w14:textId="7334F7E9" w:rsidR="0016770E" w:rsidRPr="00D3207A" w:rsidRDefault="0016770E" w:rsidP="005D263F">
      <w:pPr>
        <w:pStyle w:val="ListParagraph"/>
        <w:numPr>
          <w:ilvl w:val="1"/>
          <w:numId w:val="42"/>
        </w:numPr>
        <w:spacing w:after="0"/>
        <w:ind w:left="1134" w:hanging="283"/>
        <w:jc w:val="both"/>
      </w:pPr>
      <w:r w:rsidRPr="00D3207A">
        <w:t>a single document listing all assumptions relating to future management actions used in the best estimate calculation, or</w:t>
      </w:r>
    </w:p>
    <w:p w14:paraId="0F0094ED" w14:textId="227FB4EC" w:rsidR="0016770E" w:rsidRPr="00D3207A" w:rsidRDefault="0016770E" w:rsidP="005D263F">
      <w:pPr>
        <w:pStyle w:val="ListParagraph"/>
        <w:numPr>
          <w:ilvl w:val="1"/>
          <w:numId w:val="42"/>
        </w:numPr>
        <w:spacing w:after="0"/>
        <w:ind w:left="1134" w:hanging="283"/>
        <w:jc w:val="both"/>
      </w:pPr>
      <w:r w:rsidRPr="00D3207A">
        <w:t>a set of documents, accompanied by an inventory, that clearly provide a complete view of all assumptions relating to future management actions used in best estimate calculation.</w:t>
      </w:r>
    </w:p>
    <w:p w14:paraId="4640D44A" w14:textId="68E82282" w:rsidR="0016770E" w:rsidRPr="00D3207A" w:rsidRDefault="0016770E" w:rsidP="005D263F">
      <w:pPr>
        <w:spacing w:after="0"/>
        <w:jc w:val="both"/>
      </w:pPr>
    </w:p>
    <w:p w14:paraId="2C80C565" w14:textId="64520DD9" w:rsidR="004A7A73" w:rsidRPr="00D3207A" w:rsidRDefault="004A7A73" w:rsidP="005D263F">
      <w:pPr>
        <w:spacing w:after="0"/>
        <w:jc w:val="both"/>
        <w:rPr>
          <w:b/>
          <w:bCs/>
        </w:rPr>
      </w:pPr>
      <w:r w:rsidRPr="00D3207A">
        <w:rPr>
          <w:b/>
          <w:bCs/>
        </w:rPr>
        <w:t>Guideline 40B – Consideration of new business in setting future management actions</w:t>
      </w:r>
    </w:p>
    <w:p w14:paraId="0F5E98DA" w14:textId="7E75D7A3" w:rsidR="00547012" w:rsidRPr="00D3207A" w:rsidRDefault="00547012" w:rsidP="005D263F">
      <w:pPr>
        <w:spacing w:after="0"/>
        <w:jc w:val="both"/>
      </w:pPr>
    </w:p>
    <w:p w14:paraId="09DE7C5B" w14:textId="469FD959" w:rsidR="004A7A73" w:rsidRPr="00D3207A" w:rsidRDefault="004A7A73" w:rsidP="005D263F">
      <w:pPr>
        <w:pStyle w:val="ListParagraph"/>
        <w:spacing w:after="0"/>
        <w:jc w:val="both"/>
      </w:pPr>
      <w:r w:rsidRPr="00D3207A">
        <w:t>Insurance and reinsurance undertakings should consider the effect of new business in setting future management actions and duly consider the consequences on other related assumptions. In particular, the fact that the set of cash-flows to be projected through the application of Article 18 of the Delegated Regulation on contract boundaries is limited should not lead insurance and reinsurance undertakings to consider that assumptions only rely on this projected set of cash-flows without any influence of new business. This is particularly the case for assumptions on the allocation of risky assets, management of the duration gap or application of profit sharing mechanisms.</w:t>
      </w:r>
    </w:p>
    <w:p w14:paraId="38E33B48" w14:textId="77777777" w:rsidR="00D12063" w:rsidRPr="00D3207A" w:rsidRDefault="00D12063" w:rsidP="005D263F">
      <w:pPr>
        <w:spacing w:after="0"/>
        <w:jc w:val="both"/>
        <w:rPr>
          <w:b/>
          <w:bCs/>
        </w:rPr>
      </w:pPr>
    </w:p>
    <w:p w14:paraId="39C9E1FD" w14:textId="17D81D61" w:rsidR="003E706A" w:rsidRDefault="003E706A" w:rsidP="005D263F">
      <w:pPr>
        <w:spacing w:after="0"/>
        <w:jc w:val="both"/>
        <w:rPr>
          <w:b/>
          <w:bCs/>
        </w:rPr>
      </w:pPr>
      <w:r w:rsidRPr="00D3207A">
        <w:rPr>
          <w:b/>
          <w:bCs/>
        </w:rPr>
        <w:t>Future discretionary benefits</w:t>
      </w:r>
    </w:p>
    <w:p w14:paraId="58EBCA35" w14:textId="77777777" w:rsidR="00FC3F7B" w:rsidRPr="00D3207A" w:rsidRDefault="00FC3F7B" w:rsidP="005D263F">
      <w:pPr>
        <w:spacing w:after="0"/>
        <w:jc w:val="both"/>
        <w:rPr>
          <w:b/>
          <w:bCs/>
        </w:rPr>
      </w:pPr>
    </w:p>
    <w:p w14:paraId="10EF6B53" w14:textId="1437FC79" w:rsidR="003E706A" w:rsidRPr="00D3207A" w:rsidRDefault="003E706A" w:rsidP="005D263F">
      <w:pPr>
        <w:spacing w:after="0"/>
        <w:jc w:val="both"/>
        <w:rPr>
          <w:b/>
          <w:bCs/>
        </w:rPr>
      </w:pPr>
      <w:r w:rsidRPr="00D3207A">
        <w:rPr>
          <w:b/>
          <w:bCs/>
        </w:rPr>
        <w:t>Guideline 41 – Allowance for future discretionary benefits</w:t>
      </w:r>
    </w:p>
    <w:p w14:paraId="42DD5B5D" w14:textId="77777777" w:rsidR="00BA5CA8" w:rsidRPr="00D3207A" w:rsidRDefault="00BA5CA8" w:rsidP="005D263F">
      <w:pPr>
        <w:spacing w:after="0"/>
        <w:jc w:val="both"/>
        <w:rPr>
          <w:b/>
          <w:bCs/>
        </w:rPr>
      </w:pPr>
    </w:p>
    <w:p w14:paraId="4E63EED2" w14:textId="742371B4" w:rsidR="003E706A" w:rsidRPr="00D3207A" w:rsidRDefault="003E706A" w:rsidP="005D263F">
      <w:pPr>
        <w:pStyle w:val="ListParagraph"/>
        <w:spacing w:after="0"/>
        <w:jc w:val="both"/>
      </w:pPr>
      <w:r w:rsidRPr="00D3207A">
        <w:t xml:space="preserve">Insurance and reinsurance undertakings should take into account future discretionary benefits which are expected to be made, whether or not such payments are contractually </w:t>
      </w:r>
      <w:r w:rsidRPr="00D3207A">
        <w:lastRenderedPageBreak/>
        <w:t>guaranteed. Undertakings should ensure that the assessment of the value of future discretionary benefits considers all relevant legal and contractual restrictions, existing profit participation arrangements as well as any plans for distribution of profits.</w:t>
      </w:r>
    </w:p>
    <w:p w14:paraId="1C994DE8" w14:textId="77777777" w:rsidR="003D243F" w:rsidRPr="00D3207A" w:rsidRDefault="003D243F" w:rsidP="005D263F">
      <w:pPr>
        <w:spacing w:after="0"/>
        <w:jc w:val="both"/>
      </w:pPr>
    </w:p>
    <w:p w14:paraId="6ACDCD25" w14:textId="2F4CBC7C" w:rsidR="003E706A" w:rsidRDefault="003E706A" w:rsidP="005D263F">
      <w:pPr>
        <w:spacing w:after="0"/>
        <w:jc w:val="both"/>
        <w:rPr>
          <w:b/>
          <w:bCs/>
        </w:rPr>
      </w:pPr>
      <w:r w:rsidRPr="00D3207A">
        <w:rPr>
          <w:b/>
          <w:bCs/>
        </w:rPr>
        <w:t xml:space="preserve">Guideline 42 </w:t>
      </w:r>
      <w:r w:rsidR="00FA1007">
        <w:rPr>
          <w:b/>
          <w:bCs/>
        </w:rPr>
        <w:t>–</w:t>
      </w:r>
      <w:r w:rsidRPr="00D3207A">
        <w:rPr>
          <w:b/>
          <w:bCs/>
        </w:rPr>
        <w:t xml:space="preserve"> Assumptions on future discretionary benefits</w:t>
      </w:r>
    </w:p>
    <w:p w14:paraId="26F4B600" w14:textId="77777777" w:rsidR="00FC3F7B" w:rsidRPr="00D3207A" w:rsidRDefault="00FC3F7B" w:rsidP="005D263F">
      <w:pPr>
        <w:spacing w:after="0"/>
        <w:jc w:val="both"/>
        <w:rPr>
          <w:b/>
          <w:bCs/>
        </w:rPr>
      </w:pPr>
    </w:p>
    <w:p w14:paraId="6E817370" w14:textId="6BCD0EE6" w:rsidR="003E706A" w:rsidRPr="00D3207A" w:rsidRDefault="003E706A" w:rsidP="005D263F">
      <w:pPr>
        <w:pStyle w:val="ListParagraph"/>
        <w:spacing w:after="0"/>
        <w:jc w:val="both"/>
      </w:pPr>
      <w:r w:rsidRPr="00D3207A">
        <w:t>Insurance and reinsurance undertakings should ensure that</w:t>
      </w:r>
      <w:r w:rsidR="006E03C3" w:rsidRPr="00D3207A">
        <w:t xml:space="preserve"> </w:t>
      </w:r>
      <w:r w:rsidRPr="00D3207A">
        <w:t xml:space="preserve">assumptions regarding the distribution of future discretionary benefits are derived in an objective, realistic and verifiable manner encompassing the principles and practices adopted by the undertaking to provide insurance contracts with profit participation. Where the distribution of future discretionary benefits is related to the financial position of the undertaking, the assumptions should reflect the interaction between the assets and liabilities of </w:t>
      </w:r>
      <w:r w:rsidR="00C1151D">
        <w:t>the</w:t>
      </w:r>
      <w:r w:rsidRPr="00D3207A">
        <w:t xml:space="preserve"> undertaking.</w:t>
      </w:r>
    </w:p>
    <w:p w14:paraId="449072BC" w14:textId="77777777" w:rsidR="00BF159A" w:rsidRPr="00D3207A" w:rsidRDefault="00BF159A" w:rsidP="005D263F">
      <w:pPr>
        <w:spacing w:after="0"/>
        <w:jc w:val="both"/>
      </w:pPr>
    </w:p>
    <w:p w14:paraId="0B8E319C" w14:textId="27BAACF5" w:rsidR="003E706A" w:rsidRPr="00D3207A" w:rsidRDefault="003E706A" w:rsidP="005D263F">
      <w:pPr>
        <w:spacing w:after="0"/>
        <w:jc w:val="both"/>
        <w:rPr>
          <w:b/>
          <w:bCs/>
        </w:rPr>
      </w:pPr>
      <w:r w:rsidRPr="00D3207A">
        <w:rPr>
          <w:b/>
          <w:bCs/>
        </w:rPr>
        <w:t>Guideline 43 – Assumptions in respect of modelling distribution of future discretionary benefits</w:t>
      </w:r>
    </w:p>
    <w:p w14:paraId="3F89F29E" w14:textId="77777777" w:rsidR="00BF159A" w:rsidRPr="00D3207A" w:rsidRDefault="00BF159A" w:rsidP="005D263F">
      <w:pPr>
        <w:spacing w:after="0"/>
        <w:jc w:val="both"/>
        <w:rPr>
          <w:b/>
          <w:bCs/>
        </w:rPr>
      </w:pPr>
    </w:p>
    <w:p w14:paraId="06AF104D" w14:textId="2855145C" w:rsidR="003E706A" w:rsidRPr="00D3207A" w:rsidRDefault="003E706A" w:rsidP="005D263F">
      <w:pPr>
        <w:pStyle w:val="ListParagraph"/>
        <w:spacing w:after="0"/>
        <w:jc w:val="both"/>
      </w:pPr>
      <w:r w:rsidRPr="00D3207A">
        <w:t>Insurance and reinsurance undertakings should consider a comprehensive analysis of past experience, practice and</w:t>
      </w:r>
      <w:r w:rsidR="006E03C3" w:rsidRPr="00D3207A">
        <w:t xml:space="preserve"> </w:t>
      </w:r>
      <w:r w:rsidRPr="00D3207A">
        <w:t>distribution</w:t>
      </w:r>
      <w:r w:rsidR="006E03C3" w:rsidRPr="00D3207A">
        <w:t xml:space="preserve"> </w:t>
      </w:r>
      <w:r w:rsidRPr="00D3207A">
        <w:t>mechanism</w:t>
      </w:r>
      <w:r w:rsidR="006E03C3" w:rsidRPr="00D3207A">
        <w:t xml:space="preserve"> </w:t>
      </w:r>
      <w:r w:rsidRPr="00D3207A">
        <w:t>when</w:t>
      </w:r>
      <w:r w:rsidR="006E03C3" w:rsidRPr="00D3207A">
        <w:t xml:space="preserve"> </w:t>
      </w:r>
      <w:r w:rsidRPr="00D3207A">
        <w:t>assessing the proportionality of a simplified method used for determining the future discretionary benefits.</w:t>
      </w:r>
    </w:p>
    <w:p w14:paraId="0ECB780B" w14:textId="77777777" w:rsidR="00BF159A" w:rsidRPr="00D3207A" w:rsidRDefault="00BF159A" w:rsidP="005D263F">
      <w:pPr>
        <w:spacing w:after="0"/>
        <w:jc w:val="both"/>
      </w:pPr>
    </w:p>
    <w:p w14:paraId="05110EF3" w14:textId="64A509CC" w:rsidR="003E706A" w:rsidRPr="00D3207A" w:rsidRDefault="003E706A" w:rsidP="005D263F">
      <w:pPr>
        <w:spacing w:after="0"/>
        <w:jc w:val="both"/>
        <w:rPr>
          <w:b/>
          <w:bCs/>
        </w:rPr>
      </w:pPr>
      <w:r w:rsidRPr="00D3207A">
        <w:rPr>
          <w:b/>
          <w:bCs/>
        </w:rPr>
        <w:t>Section 4: Methodologies to calculate technical provisions</w:t>
      </w:r>
    </w:p>
    <w:p w14:paraId="37AE86AD" w14:textId="77777777" w:rsidR="000738AB" w:rsidRPr="00D3207A" w:rsidRDefault="000738AB" w:rsidP="005D263F">
      <w:pPr>
        <w:spacing w:after="0"/>
        <w:jc w:val="both"/>
        <w:rPr>
          <w:b/>
          <w:bCs/>
        </w:rPr>
      </w:pPr>
    </w:p>
    <w:p w14:paraId="7A7743DC" w14:textId="46EC57EB" w:rsidR="003E706A" w:rsidRPr="00D3207A" w:rsidRDefault="003E706A" w:rsidP="005D263F">
      <w:pPr>
        <w:spacing w:after="0"/>
        <w:jc w:val="both"/>
        <w:rPr>
          <w:b/>
          <w:bCs/>
        </w:rPr>
      </w:pPr>
      <w:r w:rsidRPr="00D3207A">
        <w:rPr>
          <w:b/>
          <w:bCs/>
        </w:rPr>
        <w:t>Proportionality assessment</w:t>
      </w:r>
    </w:p>
    <w:p w14:paraId="73F5B2BA" w14:textId="77777777" w:rsidR="00BF159A" w:rsidRPr="00D3207A" w:rsidRDefault="00BF159A" w:rsidP="005D263F">
      <w:pPr>
        <w:spacing w:after="0"/>
        <w:jc w:val="both"/>
        <w:rPr>
          <w:b/>
          <w:bCs/>
        </w:rPr>
      </w:pPr>
    </w:p>
    <w:p w14:paraId="4C7348FB" w14:textId="33D67A0A" w:rsidR="003E706A" w:rsidRPr="00D3207A" w:rsidRDefault="003E706A" w:rsidP="005D263F">
      <w:pPr>
        <w:spacing w:after="0"/>
        <w:jc w:val="both"/>
        <w:rPr>
          <w:b/>
          <w:bCs/>
        </w:rPr>
      </w:pPr>
      <w:r w:rsidRPr="00D3207A">
        <w:rPr>
          <w:b/>
          <w:bCs/>
        </w:rPr>
        <w:t>Guideline 44 – General principle of proportionality</w:t>
      </w:r>
    </w:p>
    <w:p w14:paraId="46149DD6" w14:textId="77777777" w:rsidR="00BF159A" w:rsidRPr="00D3207A" w:rsidRDefault="00BF159A" w:rsidP="005D263F">
      <w:pPr>
        <w:spacing w:after="0"/>
        <w:jc w:val="both"/>
        <w:rPr>
          <w:b/>
          <w:bCs/>
        </w:rPr>
      </w:pPr>
    </w:p>
    <w:p w14:paraId="0173807E" w14:textId="575D35A5" w:rsidR="003E706A" w:rsidRPr="00D3207A" w:rsidRDefault="003E706A" w:rsidP="005D263F">
      <w:pPr>
        <w:pStyle w:val="ListParagraph"/>
        <w:numPr>
          <w:ilvl w:val="0"/>
          <w:numId w:val="53"/>
        </w:numPr>
        <w:spacing w:after="0"/>
        <w:jc w:val="both"/>
      </w:pPr>
      <w:r w:rsidRPr="00D3207A">
        <w:t>Insurance and reinsurance undertakings should, in order to have an overall assessment of the risks underlying their insurance and reinsurance obligations, take into account the strong interrelation among the nature, scale and complexity of these risks.</w:t>
      </w:r>
    </w:p>
    <w:p w14:paraId="3E5CFD7F" w14:textId="77777777" w:rsidR="00BF159A" w:rsidRPr="00D3207A" w:rsidRDefault="00BF159A" w:rsidP="005D263F">
      <w:pPr>
        <w:spacing w:after="0"/>
        <w:jc w:val="both"/>
      </w:pPr>
    </w:p>
    <w:p w14:paraId="4AC08413" w14:textId="34421C99" w:rsidR="003E706A" w:rsidRPr="00D3207A" w:rsidRDefault="003E706A" w:rsidP="005D263F">
      <w:pPr>
        <w:pStyle w:val="ListParagraph"/>
        <w:numPr>
          <w:ilvl w:val="0"/>
          <w:numId w:val="53"/>
        </w:numPr>
        <w:spacing w:after="0"/>
        <w:jc w:val="both"/>
      </w:pPr>
      <w:r w:rsidRPr="00D3207A">
        <w:t>Undertakings should ensure that the actuarial function is able to explain which methods are used to calculate the technical provisions and the reason why such methods have been selected.</w:t>
      </w:r>
    </w:p>
    <w:p w14:paraId="70C7C913" w14:textId="77777777" w:rsidR="004510DC" w:rsidRPr="00D3207A" w:rsidRDefault="004510DC" w:rsidP="005D263F">
      <w:pPr>
        <w:spacing w:after="0"/>
        <w:jc w:val="both"/>
        <w:rPr>
          <w:b/>
          <w:bCs/>
        </w:rPr>
      </w:pPr>
    </w:p>
    <w:p w14:paraId="5697B3B4" w14:textId="65E08128" w:rsidR="003E706A" w:rsidRPr="00D3207A" w:rsidRDefault="003E706A" w:rsidP="005D263F">
      <w:pPr>
        <w:spacing w:after="0"/>
        <w:jc w:val="both"/>
        <w:rPr>
          <w:b/>
          <w:bCs/>
        </w:rPr>
      </w:pPr>
      <w:r w:rsidRPr="00D3207A">
        <w:rPr>
          <w:b/>
          <w:bCs/>
        </w:rPr>
        <w:t>Guideline 45 – Assessment of nature and complexity of the risks</w:t>
      </w:r>
    </w:p>
    <w:p w14:paraId="7DBB74AE" w14:textId="77777777" w:rsidR="00BF159A" w:rsidRPr="00D3207A" w:rsidRDefault="00BF159A" w:rsidP="005D263F">
      <w:pPr>
        <w:spacing w:after="0"/>
        <w:jc w:val="both"/>
        <w:rPr>
          <w:b/>
          <w:bCs/>
        </w:rPr>
      </w:pPr>
    </w:p>
    <w:p w14:paraId="12942065" w14:textId="0E37F136" w:rsidR="003E706A" w:rsidRPr="00D3207A" w:rsidRDefault="003E706A" w:rsidP="005D263F">
      <w:pPr>
        <w:pStyle w:val="ListParagraph"/>
        <w:spacing w:after="0"/>
        <w:jc w:val="both"/>
      </w:pPr>
      <w:r w:rsidRPr="00D3207A">
        <w:t xml:space="preserve">When assessing the nature and complexity of the risks underlying the insurance contracts as referred to in Article 56(2)(a) of </w:t>
      </w:r>
      <w:commentRangeStart w:id="5"/>
      <w:r w:rsidR="00C1151D">
        <w:t>the</w:t>
      </w:r>
      <w:r w:rsidRPr="00D3207A">
        <w:t xml:space="preserve"> Delegated Regulation</w:t>
      </w:r>
      <w:commentRangeEnd w:id="5"/>
      <w:r w:rsidR="0028755A">
        <w:rPr>
          <w:rStyle w:val="CommentReference"/>
        </w:rPr>
        <w:commentReference w:id="5"/>
      </w:r>
      <w:r w:rsidRPr="00D3207A">
        <w:t>, insurance and reinsurance undertakings should take into account, at least, the following characteristics, where applicable:</w:t>
      </w:r>
    </w:p>
    <w:p w14:paraId="57AB6CBA" w14:textId="64A298FB" w:rsidR="003E706A" w:rsidRPr="00D3207A" w:rsidRDefault="003E706A" w:rsidP="005D263F">
      <w:pPr>
        <w:spacing w:after="0"/>
        <w:ind w:left="993" w:hanging="284"/>
        <w:jc w:val="both"/>
      </w:pPr>
      <w:r w:rsidRPr="00D3207A">
        <w:t>a)</w:t>
      </w:r>
      <w:r w:rsidR="00C1151D">
        <w:tab/>
      </w:r>
      <w:r w:rsidRPr="00D3207A">
        <w:t>the degree of homogeneity of the risks</w:t>
      </w:r>
      <w:r w:rsidR="00C1151D">
        <w:t>;</w:t>
      </w:r>
    </w:p>
    <w:p w14:paraId="7C1EF569" w14:textId="106FA22B" w:rsidR="003E706A" w:rsidRPr="00D3207A" w:rsidRDefault="003E706A" w:rsidP="005D263F">
      <w:pPr>
        <w:spacing w:after="0"/>
        <w:ind w:left="993" w:hanging="284"/>
        <w:jc w:val="both"/>
      </w:pPr>
      <w:r w:rsidRPr="00D3207A">
        <w:t>b)</w:t>
      </w:r>
      <w:r w:rsidR="00C1151D">
        <w:tab/>
      </w:r>
      <w:r w:rsidRPr="00D3207A">
        <w:t>the</w:t>
      </w:r>
      <w:r w:rsidR="006E03C3" w:rsidRPr="00D3207A">
        <w:t xml:space="preserve"> </w:t>
      </w:r>
      <w:r w:rsidRPr="00D3207A">
        <w:t>variety</w:t>
      </w:r>
      <w:r w:rsidR="006E03C3" w:rsidRPr="00D3207A">
        <w:t xml:space="preserve"> </w:t>
      </w:r>
      <w:r w:rsidRPr="00D3207A">
        <w:t>of</w:t>
      </w:r>
      <w:r w:rsidR="006E03C3" w:rsidRPr="00D3207A">
        <w:t xml:space="preserve"> </w:t>
      </w:r>
      <w:r w:rsidRPr="00D3207A">
        <w:t>different risks</w:t>
      </w:r>
      <w:r w:rsidR="006E03C3" w:rsidRPr="00D3207A">
        <w:t xml:space="preserve"> </w:t>
      </w:r>
      <w:r w:rsidRPr="00D3207A">
        <w:t>or</w:t>
      </w:r>
      <w:r w:rsidR="006E03C3" w:rsidRPr="00D3207A">
        <w:t xml:space="preserve"> </w:t>
      </w:r>
      <w:r w:rsidRPr="00D3207A">
        <w:t>risk</w:t>
      </w:r>
      <w:r w:rsidR="006E03C3" w:rsidRPr="00D3207A">
        <w:t xml:space="preserve"> </w:t>
      </w:r>
      <w:r w:rsidRPr="00D3207A">
        <w:t>components</w:t>
      </w:r>
      <w:r w:rsidR="006E03C3" w:rsidRPr="00D3207A">
        <w:t xml:space="preserve"> </w:t>
      </w:r>
      <w:r w:rsidRPr="00D3207A">
        <w:t>of</w:t>
      </w:r>
      <w:r w:rsidR="006E03C3" w:rsidRPr="00D3207A">
        <w:t xml:space="preserve"> </w:t>
      </w:r>
      <w:r w:rsidRPr="00D3207A">
        <w:t>which</w:t>
      </w:r>
      <w:r w:rsidR="006E03C3" w:rsidRPr="00D3207A">
        <w:t xml:space="preserve"> </w:t>
      </w:r>
      <w:r w:rsidRPr="00D3207A">
        <w:t>the</w:t>
      </w:r>
      <w:r w:rsidR="006E03C3" w:rsidRPr="00D3207A">
        <w:t xml:space="preserve"> </w:t>
      </w:r>
      <w:r w:rsidRPr="00D3207A">
        <w:t>risk is comprised</w:t>
      </w:r>
      <w:r w:rsidR="00C1151D">
        <w:t>;</w:t>
      </w:r>
    </w:p>
    <w:p w14:paraId="4AB9A8E4" w14:textId="5997BE04" w:rsidR="003E706A" w:rsidRPr="00D3207A" w:rsidRDefault="003E706A" w:rsidP="005D263F">
      <w:pPr>
        <w:spacing w:after="0"/>
        <w:ind w:left="993" w:hanging="284"/>
        <w:jc w:val="both"/>
      </w:pPr>
      <w:r w:rsidRPr="00D3207A">
        <w:t>c)</w:t>
      </w:r>
      <w:r w:rsidR="00C1151D">
        <w:tab/>
      </w:r>
      <w:r w:rsidRPr="00D3207A">
        <w:t>the way in which these risks are interrelated with one another</w:t>
      </w:r>
      <w:r w:rsidR="00C1151D">
        <w:t>;</w:t>
      </w:r>
    </w:p>
    <w:p w14:paraId="4F911476" w14:textId="500CC875" w:rsidR="003E706A" w:rsidRPr="00D3207A" w:rsidRDefault="003E706A" w:rsidP="005D263F">
      <w:pPr>
        <w:spacing w:after="0"/>
        <w:ind w:left="993" w:hanging="284"/>
        <w:jc w:val="both"/>
      </w:pPr>
      <w:r w:rsidRPr="00D3207A">
        <w:t>d)</w:t>
      </w:r>
      <w:r w:rsidR="00C1151D">
        <w:tab/>
      </w:r>
      <w:r w:rsidRPr="00D3207A">
        <w:t>the</w:t>
      </w:r>
      <w:r w:rsidR="006E03C3" w:rsidRPr="00D3207A">
        <w:t xml:space="preserve"> </w:t>
      </w:r>
      <w:r w:rsidRPr="00D3207A">
        <w:t>level</w:t>
      </w:r>
      <w:r w:rsidR="006E03C3" w:rsidRPr="00D3207A">
        <w:t xml:space="preserve"> </w:t>
      </w:r>
      <w:r w:rsidRPr="00D3207A">
        <w:t>of</w:t>
      </w:r>
      <w:r w:rsidR="006E03C3" w:rsidRPr="00D3207A">
        <w:t xml:space="preserve"> </w:t>
      </w:r>
      <w:r w:rsidRPr="00D3207A">
        <w:t>uncertainty</w:t>
      </w:r>
      <w:r w:rsidR="006E03C3" w:rsidRPr="00D3207A">
        <w:t xml:space="preserve"> </w:t>
      </w:r>
      <w:r w:rsidRPr="00D3207A">
        <w:t>i.e.</w:t>
      </w:r>
      <w:r w:rsidR="006E03C3" w:rsidRPr="00D3207A">
        <w:t xml:space="preserve"> </w:t>
      </w:r>
      <w:r w:rsidRPr="00D3207A">
        <w:t>the</w:t>
      </w:r>
      <w:r w:rsidR="006E03C3" w:rsidRPr="00D3207A">
        <w:t xml:space="preserve"> </w:t>
      </w:r>
      <w:r w:rsidRPr="00D3207A">
        <w:t>extent</w:t>
      </w:r>
      <w:r w:rsidR="006E03C3" w:rsidRPr="00D3207A">
        <w:t xml:space="preserve"> </w:t>
      </w:r>
      <w:r w:rsidRPr="00D3207A">
        <w:t>to</w:t>
      </w:r>
      <w:r w:rsidR="006E03C3" w:rsidRPr="00D3207A">
        <w:t xml:space="preserve"> </w:t>
      </w:r>
      <w:r w:rsidRPr="00D3207A">
        <w:t>which</w:t>
      </w:r>
      <w:r w:rsidR="006E03C3" w:rsidRPr="00D3207A">
        <w:t xml:space="preserve"> </w:t>
      </w:r>
      <w:r w:rsidRPr="00D3207A">
        <w:t>future</w:t>
      </w:r>
      <w:r w:rsidR="006E03C3" w:rsidRPr="00D3207A">
        <w:t xml:space="preserve"> </w:t>
      </w:r>
      <w:r w:rsidRPr="00D3207A">
        <w:t>cash</w:t>
      </w:r>
      <w:r w:rsidR="006E03C3" w:rsidRPr="00D3207A">
        <w:t xml:space="preserve"> </w:t>
      </w:r>
      <w:r w:rsidRPr="00D3207A">
        <w:t>flows</w:t>
      </w:r>
      <w:r w:rsidR="006E03C3" w:rsidRPr="00D3207A">
        <w:t xml:space="preserve"> </w:t>
      </w:r>
      <w:r w:rsidRPr="00D3207A">
        <w:t>can</w:t>
      </w:r>
      <w:r w:rsidR="00C1151D">
        <w:t xml:space="preserve"> </w:t>
      </w:r>
      <w:r w:rsidRPr="00D3207A">
        <w:t>be estimated</w:t>
      </w:r>
      <w:r w:rsidR="00C1151D">
        <w:t>;</w:t>
      </w:r>
    </w:p>
    <w:p w14:paraId="0BCAC059" w14:textId="2D0675F1" w:rsidR="003E706A" w:rsidRPr="00D3207A" w:rsidRDefault="003E706A" w:rsidP="005D263F">
      <w:pPr>
        <w:spacing w:after="0"/>
        <w:ind w:left="993" w:hanging="284"/>
        <w:jc w:val="both"/>
      </w:pPr>
      <w:r w:rsidRPr="00D3207A">
        <w:lastRenderedPageBreak/>
        <w:t>e)</w:t>
      </w:r>
      <w:r w:rsidR="00C1151D">
        <w:tab/>
      </w:r>
      <w:r w:rsidRPr="00D3207A">
        <w:t>the nature of the occurrence or crystallisation of the risk in terms of frequency and severity</w:t>
      </w:r>
      <w:r w:rsidR="00C1151D">
        <w:t>;</w:t>
      </w:r>
    </w:p>
    <w:p w14:paraId="7C41C2C3" w14:textId="723C9106" w:rsidR="003E706A" w:rsidRPr="00D3207A" w:rsidRDefault="003E706A" w:rsidP="005D263F">
      <w:pPr>
        <w:spacing w:after="0"/>
        <w:ind w:left="993" w:hanging="284"/>
        <w:jc w:val="both"/>
      </w:pPr>
      <w:r w:rsidRPr="00D3207A">
        <w:t>f)</w:t>
      </w:r>
      <w:r w:rsidR="00C1151D">
        <w:tab/>
      </w:r>
      <w:r w:rsidRPr="00D3207A">
        <w:t>the type of the development of claims payments over time</w:t>
      </w:r>
      <w:r w:rsidR="00C1151D">
        <w:t>;</w:t>
      </w:r>
    </w:p>
    <w:p w14:paraId="160FF1AF" w14:textId="13325307" w:rsidR="003E706A" w:rsidRPr="00D3207A" w:rsidRDefault="003E706A" w:rsidP="005D263F">
      <w:pPr>
        <w:spacing w:after="0"/>
        <w:ind w:left="993" w:hanging="284"/>
        <w:jc w:val="both"/>
      </w:pPr>
      <w:r w:rsidRPr="00D3207A">
        <w:t>g)</w:t>
      </w:r>
      <w:r w:rsidR="00C1151D">
        <w:tab/>
      </w:r>
      <w:r w:rsidRPr="00D3207A">
        <w:t>the extent of potential loss, including the tail of the claims distribution</w:t>
      </w:r>
      <w:r w:rsidR="00C1151D">
        <w:t>;</w:t>
      </w:r>
    </w:p>
    <w:p w14:paraId="248D5C03" w14:textId="23E5B37E" w:rsidR="003E706A" w:rsidRPr="00D3207A" w:rsidRDefault="003E706A" w:rsidP="005D263F">
      <w:pPr>
        <w:spacing w:after="0"/>
        <w:ind w:left="993" w:hanging="284"/>
        <w:jc w:val="both"/>
      </w:pPr>
      <w:r w:rsidRPr="00D3207A">
        <w:t>h)</w:t>
      </w:r>
      <w:r w:rsidR="00C1151D">
        <w:tab/>
      </w:r>
      <w:r w:rsidRPr="00D3207A">
        <w:t>the type of business from which the risks originate, i.e. direct business or reinsurance business</w:t>
      </w:r>
      <w:r w:rsidR="00C1151D">
        <w:t>;</w:t>
      </w:r>
    </w:p>
    <w:p w14:paraId="1B955B61" w14:textId="7C8EF6F9" w:rsidR="003E706A" w:rsidRPr="00D3207A" w:rsidRDefault="003E706A" w:rsidP="005D263F">
      <w:pPr>
        <w:spacing w:after="0"/>
        <w:ind w:left="993" w:hanging="284"/>
        <w:jc w:val="both"/>
      </w:pPr>
      <w:r w:rsidRPr="00D3207A">
        <w:t>i)</w:t>
      </w:r>
      <w:r w:rsidR="00C1151D">
        <w:tab/>
      </w:r>
      <w:r w:rsidRPr="00D3207A">
        <w:t>the degree of dependency between different risk types, including the tail of the risk distribution</w:t>
      </w:r>
      <w:r w:rsidR="00C1151D">
        <w:t>;</w:t>
      </w:r>
    </w:p>
    <w:p w14:paraId="506E3CE5" w14:textId="61E6369B" w:rsidR="003E706A" w:rsidRPr="00D3207A" w:rsidRDefault="003E706A" w:rsidP="005D263F">
      <w:pPr>
        <w:spacing w:after="0"/>
        <w:ind w:left="993" w:hanging="284"/>
        <w:jc w:val="both"/>
      </w:pPr>
      <w:r w:rsidRPr="00D3207A">
        <w:t>j)</w:t>
      </w:r>
      <w:r w:rsidR="00C1151D">
        <w:tab/>
      </w:r>
      <w:r w:rsidRPr="00D3207A">
        <w:t>the risk mitigation instruments applied, if any, and their impact on the underlying risk profile.</w:t>
      </w:r>
    </w:p>
    <w:p w14:paraId="3A14AA4B" w14:textId="77777777" w:rsidR="00BF159A" w:rsidRPr="00D3207A" w:rsidRDefault="00BF159A" w:rsidP="005D263F">
      <w:pPr>
        <w:spacing w:after="0"/>
        <w:jc w:val="both"/>
      </w:pPr>
    </w:p>
    <w:p w14:paraId="471E4E94" w14:textId="45D5D231" w:rsidR="003E706A" w:rsidRPr="00D3207A" w:rsidRDefault="003E706A" w:rsidP="005D263F">
      <w:pPr>
        <w:spacing w:after="0"/>
        <w:jc w:val="both"/>
        <w:rPr>
          <w:b/>
          <w:bCs/>
        </w:rPr>
      </w:pPr>
      <w:r w:rsidRPr="00D3207A">
        <w:rPr>
          <w:b/>
          <w:bCs/>
        </w:rPr>
        <w:t>Guideline 46 – Identification of complex risk structures</w:t>
      </w:r>
    </w:p>
    <w:p w14:paraId="36ED7E90" w14:textId="77777777" w:rsidR="00BF159A" w:rsidRPr="00D3207A" w:rsidRDefault="00BF159A" w:rsidP="005D263F">
      <w:pPr>
        <w:spacing w:after="0"/>
        <w:jc w:val="both"/>
        <w:rPr>
          <w:b/>
          <w:bCs/>
        </w:rPr>
      </w:pPr>
    </w:p>
    <w:p w14:paraId="14DDF73D" w14:textId="31B737DE" w:rsidR="003E706A" w:rsidRPr="00D3207A" w:rsidRDefault="003E706A" w:rsidP="005D263F">
      <w:pPr>
        <w:pStyle w:val="ListParagraph"/>
        <w:spacing w:after="0"/>
        <w:jc w:val="both"/>
      </w:pPr>
      <w:r w:rsidRPr="00D3207A">
        <w:t>Insurance and reinsurance undertakings should identify factors which indicate the presence of complex risks. This should be at least the case where:</w:t>
      </w:r>
    </w:p>
    <w:p w14:paraId="22629D6D" w14:textId="06E7A473" w:rsidR="003E706A" w:rsidRPr="00D3207A" w:rsidRDefault="003E706A" w:rsidP="005D263F">
      <w:pPr>
        <w:spacing w:after="0"/>
        <w:ind w:left="993" w:hanging="284"/>
        <w:jc w:val="both"/>
      </w:pPr>
      <w:r w:rsidRPr="00D3207A">
        <w:t>a)</w:t>
      </w:r>
      <w:r w:rsidR="00C1151D">
        <w:tab/>
      </w:r>
      <w:r w:rsidRPr="00D3207A">
        <w:t>the cash-flows are highly path dependent</w:t>
      </w:r>
      <w:r w:rsidR="00C1151D">
        <w:t>;</w:t>
      </w:r>
      <w:r w:rsidRPr="00D3207A">
        <w:t xml:space="preserve"> </w:t>
      </w:r>
    </w:p>
    <w:p w14:paraId="39B4961C" w14:textId="17249F44" w:rsidR="003E706A" w:rsidRPr="00D3207A" w:rsidRDefault="003E706A" w:rsidP="005D263F">
      <w:pPr>
        <w:spacing w:after="0"/>
        <w:ind w:left="993" w:hanging="284"/>
        <w:jc w:val="both"/>
      </w:pPr>
      <w:r w:rsidRPr="00D3207A">
        <w:t>b)</w:t>
      </w:r>
      <w:r w:rsidR="00C1151D">
        <w:tab/>
      </w:r>
      <w:r w:rsidRPr="00D3207A">
        <w:t>there are significant non-linear inter-dependencies between several drivers of uncertainty</w:t>
      </w:r>
      <w:r w:rsidR="00C1151D">
        <w:t>;</w:t>
      </w:r>
    </w:p>
    <w:p w14:paraId="0426BFE9" w14:textId="64872552" w:rsidR="003E706A" w:rsidRPr="00D3207A" w:rsidRDefault="003E706A" w:rsidP="005D263F">
      <w:pPr>
        <w:spacing w:after="0"/>
        <w:ind w:left="993" w:hanging="284"/>
        <w:jc w:val="both"/>
      </w:pPr>
      <w:r w:rsidRPr="00D3207A">
        <w:t>c)</w:t>
      </w:r>
      <w:r w:rsidR="00C1151D">
        <w:tab/>
      </w:r>
      <w:r w:rsidRPr="00D3207A">
        <w:t>the cash-flows are materially affected by the potential future management actions</w:t>
      </w:r>
      <w:r w:rsidR="005D263F">
        <w:t>;</w:t>
      </w:r>
    </w:p>
    <w:p w14:paraId="3C97C6B4" w14:textId="1B208DC6" w:rsidR="003E706A" w:rsidRPr="00D3207A" w:rsidRDefault="003E706A" w:rsidP="005D263F">
      <w:pPr>
        <w:spacing w:after="0"/>
        <w:ind w:left="993" w:hanging="284"/>
        <w:jc w:val="both"/>
      </w:pPr>
      <w:r w:rsidRPr="00D3207A">
        <w:t>d)</w:t>
      </w:r>
      <w:r w:rsidR="005D263F">
        <w:tab/>
      </w:r>
      <w:r w:rsidRPr="00D3207A">
        <w:t>risks have a significant asymmetric impact on the value of the cash-flows, in particular if contracts include material embedded options and guarantees or if there are complex reinsurance contracts in place</w:t>
      </w:r>
      <w:r w:rsidR="005D263F">
        <w:t>;</w:t>
      </w:r>
    </w:p>
    <w:p w14:paraId="25AEC7D3" w14:textId="5E3C64B5" w:rsidR="003E706A" w:rsidRPr="00D3207A" w:rsidRDefault="003E706A" w:rsidP="005D263F">
      <w:pPr>
        <w:spacing w:after="0"/>
        <w:ind w:left="993" w:hanging="284"/>
        <w:jc w:val="both"/>
      </w:pPr>
      <w:r w:rsidRPr="00D3207A">
        <w:t>e)</w:t>
      </w:r>
      <w:r w:rsidR="005D263F">
        <w:tab/>
      </w:r>
      <w:r w:rsidRPr="00D3207A">
        <w:t>the value of options and guarantees is affected by the policyholder behaviour</w:t>
      </w:r>
      <w:r w:rsidR="005D263F">
        <w:t>;</w:t>
      </w:r>
    </w:p>
    <w:p w14:paraId="3D34BABA" w14:textId="1B781CDF" w:rsidR="003E706A" w:rsidRPr="00D3207A" w:rsidRDefault="003E706A" w:rsidP="005D263F">
      <w:pPr>
        <w:spacing w:after="0"/>
        <w:ind w:left="993" w:hanging="284"/>
        <w:jc w:val="both"/>
      </w:pPr>
      <w:r w:rsidRPr="00D3207A">
        <w:t>f)</w:t>
      </w:r>
      <w:r w:rsidR="005D263F">
        <w:tab/>
      </w:r>
      <w:r w:rsidRPr="00D3207A">
        <w:t>the undertaking uses a complex risk mitigation instrument</w:t>
      </w:r>
      <w:r w:rsidR="005D263F">
        <w:t>;</w:t>
      </w:r>
    </w:p>
    <w:p w14:paraId="2AEC3994" w14:textId="74FDF2B3" w:rsidR="003E706A" w:rsidRPr="00D3207A" w:rsidRDefault="003E706A" w:rsidP="005D263F">
      <w:pPr>
        <w:spacing w:after="0"/>
        <w:ind w:left="993" w:hanging="284"/>
        <w:jc w:val="both"/>
      </w:pPr>
      <w:r w:rsidRPr="00D3207A">
        <w:t>g)</w:t>
      </w:r>
      <w:r w:rsidR="005D263F">
        <w:tab/>
      </w:r>
      <w:r w:rsidRPr="00D3207A">
        <w:t>a variety of covers of different nature are bundled in the contracts</w:t>
      </w:r>
      <w:r w:rsidR="005D263F">
        <w:t>;</w:t>
      </w:r>
    </w:p>
    <w:p w14:paraId="47E8D556" w14:textId="46E69270" w:rsidR="003E706A" w:rsidRPr="00D3207A" w:rsidRDefault="003E706A" w:rsidP="005D263F">
      <w:pPr>
        <w:spacing w:after="0"/>
        <w:ind w:left="993" w:hanging="284"/>
        <w:jc w:val="both"/>
      </w:pPr>
      <w:r w:rsidRPr="00D3207A">
        <w:t>h)</w:t>
      </w:r>
      <w:r w:rsidR="005D263F">
        <w:tab/>
      </w:r>
      <w:r w:rsidRPr="00D3207A">
        <w:t>the terms of the contracts are complex, inter alia, in terms of franchises, participations, inclusion and exclusion criteria of the cover.</w:t>
      </w:r>
    </w:p>
    <w:p w14:paraId="2E09C16E" w14:textId="77777777" w:rsidR="00BF159A" w:rsidRPr="00D3207A" w:rsidRDefault="00BF159A" w:rsidP="005D263F">
      <w:pPr>
        <w:spacing w:after="0"/>
        <w:ind w:firstLine="424"/>
        <w:jc w:val="both"/>
      </w:pPr>
    </w:p>
    <w:p w14:paraId="4A4D2C64" w14:textId="6D9CA4FF" w:rsidR="003E706A" w:rsidRPr="00D3207A" w:rsidRDefault="003E706A" w:rsidP="005D263F">
      <w:pPr>
        <w:spacing w:after="0"/>
        <w:jc w:val="both"/>
        <w:rPr>
          <w:b/>
          <w:bCs/>
        </w:rPr>
      </w:pPr>
      <w:r w:rsidRPr="00D3207A">
        <w:rPr>
          <w:b/>
          <w:bCs/>
        </w:rPr>
        <w:t>Guideline 47 – Assessment of scale of the risks</w:t>
      </w:r>
    </w:p>
    <w:p w14:paraId="240A9D03" w14:textId="77777777" w:rsidR="00BF159A" w:rsidRPr="00D3207A" w:rsidRDefault="00BF159A" w:rsidP="005D263F">
      <w:pPr>
        <w:spacing w:after="0"/>
        <w:jc w:val="both"/>
        <w:rPr>
          <w:b/>
          <w:bCs/>
        </w:rPr>
      </w:pPr>
    </w:p>
    <w:p w14:paraId="07850053" w14:textId="42480F55" w:rsidR="003E706A" w:rsidRPr="00D3207A" w:rsidRDefault="003E706A" w:rsidP="005D263F">
      <w:pPr>
        <w:pStyle w:val="ListParagraph"/>
        <w:numPr>
          <w:ilvl w:val="0"/>
          <w:numId w:val="56"/>
        </w:numPr>
        <w:spacing w:after="0"/>
        <w:jc w:val="both"/>
      </w:pPr>
      <w:r w:rsidRPr="00D3207A">
        <w:t xml:space="preserve">Insurance and reinsurance undertakings should identify and use an interpretation of scale which is best suited to the specific circumstances of the undertaking and to the risk profile of its portfolio. Nevertheless, the assessment of </w:t>
      </w:r>
      <w:r w:rsidR="005D263F">
        <w:t>‘</w:t>
      </w:r>
      <w:r w:rsidRPr="00D3207A">
        <w:t>scale</w:t>
      </w:r>
      <w:r w:rsidR="005D263F">
        <w:t>’</w:t>
      </w:r>
      <w:r w:rsidRPr="00D3207A">
        <w:t xml:space="preserve"> should lead to an objective and reliable assessment.</w:t>
      </w:r>
    </w:p>
    <w:p w14:paraId="7DD4B49E" w14:textId="77777777" w:rsidR="00BF159A" w:rsidRPr="00D3207A" w:rsidRDefault="00BF159A" w:rsidP="005D263F">
      <w:pPr>
        <w:spacing w:after="0"/>
        <w:jc w:val="both"/>
      </w:pPr>
    </w:p>
    <w:p w14:paraId="08470BBD" w14:textId="2CE294AF" w:rsidR="003E706A" w:rsidRPr="00D3207A" w:rsidRDefault="003E706A" w:rsidP="005D263F">
      <w:pPr>
        <w:pStyle w:val="ListParagraph"/>
        <w:numPr>
          <w:ilvl w:val="0"/>
          <w:numId w:val="56"/>
        </w:numPr>
        <w:spacing w:after="0"/>
        <w:jc w:val="both"/>
      </w:pPr>
      <w:r w:rsidRPr="00D3207A">
        <w:t>To measure the scale of risks</w:t>
      </w:r>
      <w:r w:rsidR="00FA1007">
        <w:t>,</w:t>
      </w:r>
      <w:r w:rsidRPr="00D3207A">
        <w:t xml:space="preserve"> undertakings should establish an undertaking-specific benchmark or reference level which leads to a relative rather than an absolute assessment number. For this purpose, risks may be considered in a range from small to large relative to the established benchmark.</w:t>
      </w:r>
    </w:p>
    <w:p w14:paraId="64896062" w14:textId="77777777" w:rsidR="00FC3F7B" w:rsidRDefault="00FC3F7B" w:rsidP="005D263F">
      <w:pPr>
        <w:spacing w:after="0"/>
        <w:jc w:val="both"/>
        <w:rPr>
          <w:b/>
          <w:bCs/>
        </w:rPr>
      </w:pPr>
    </w:p>
    <w:p w14:paraId="2899F8A0" w14:textId="297765CE" w:rsidR="003E706A" w:rsidRPr="00D3207A" w:rsidRDefault="003E706A" w:rsidP="005D263F">
      <w:pPr>
        <w:spacing w:after="0"/>
        <w:jc w:val="both"/>
        <w:rPr>
          <w:b/>
          <w:bCs/>
        </w:rPr>
      </w:pPr>
      <w:r w:rsidRPr="00D3207A">
        <w:rPr>
          <w:b/>
          <w:bCs/>
        </w:rPr>
        <w:t>Guideline 48 – Granularity of materiality assessment</w:t>
      </w:r>
    </w:p>
    <w:p w14:paraId="1AAC663B" w14:textId="77777777" w:rsidR="00C91B4D" w:rsidRPr="00D3207A" w:rsidRDefault="00C91B4D" w:rsidP="005D263F">
      <w:pPr>
        <w:spacing w:after="0"/>
        <w:jc w:val="both"/>
        <w:rPr>
          <w:b/>
          <w:bCs/>
        </w:rPr>
      </w:pPr>
    </w:p>
    <w:p w14:paraId="691716A6" w14:textId="158562D4" w:rsidR="003E706A" w:rsidRPr="00D3207A" w:rsidRDefault="003E706A" w:rsidP="005D263F">
      <w:pPr>
        <w:pStyle w:val="ListParagraph"/>
        <w:numPr>
          <w:ilvl w:val="0"/>
          <w:numId w:val="57"/>
        </w:numPr>
        <w:spacing w:after="0"/>
        <w:jc w:val="both"/>
      </w:pPr>
      <w:r w:rsidRPr="00D3207A">
        <w:t>Insurance and reinsurance undertakings should determine the most appropriate level at which an assessment of materiality for the purposes of the calculation of the technical provisions is to be carried out, which could be the individual homogeneous risk groups, the individual lines of business or the business of the insurer as a whole.</w:t>
      </w:r>
    </w:p>
    <w:p w14:paraId="30DEC863" w14:textId="77777777" w:rsidR="00BF159A" w:rsidRPr="00D3207A" w:rsidRDefault="00BF159A" w:rsidP="005D263F">
      <w:pPr>
        <w:spacing w:after="0"/>
        <w:jc w:val="both"/>
      </w:pPr>
    </w:p>
    <w:p w14:paraId="0AA88646" w14:textId="1B454717" w:rsidR="003E706A" w:rsidRPr="00D3207A" w:rsidRDefault="003E706A" w:rsidP="005D263F">
      <w:pPr>
        <w:pStyle w:val="ListParagraph"/>
        <w:numPr>
          <w:ilvl w:val="0"/>
          <w:numId w:val="57"/>
        </w:numPr>
        <w:spacing w:after="0"/>
        <w:jc w:val="both"/>
      </w:pPr>
      <w:r w:rsidRPr="00D3207A">
        <w:lastRenderedPageBreak/>
        <w:t>Undertakings should consider when assessing the materiality that a risk which is immaterial with regard to the business of the insurer as a whole may still have a significant impact within a smaller segment.</w:t>
      </w:r>
    </w:p>
    <w:p w14:paraId="644E29AF" w14:textId="77777777" w:rsidR="00BF159A" w:rsidRPr="00D3207A" w:rsidRDefault="00BF159A" w:rsidP="005D263F">
      <w:pPr>
        <w:spacing w:after="0"/>
        <w:jc w:val="both"/>
      </w:pPr>
    </w:p>
    <w:p w14:paraId="0CC06776" w14:textId="205DF13E" w:rsidR="003E706A" w:rsidRPr="00D3207A" w:rsidRDefault="003E706A" w:rsidP="005D263F">
      <w:pPr>
        <w:pStyle w:val="ListParagraph"/>
        <w:numPr>
          <w:ilvl w:val="0"/>
          <w:numId w:val="57"/>
        </w:numPr>
        <w:spacing w:after="0"/>
        <w:jc w:val="both"/>
      </w:pPr>
      <w:r w:rsidRPr="00D3207A">
        <w:t>In addition, undertakings should not</w:t>
      </w:r>
      <w:r w:rsidR="006E03C3" w:rsidRPr="00D3207A">
        <w:t xml:space="preserve"> </w:t>
      </w:r>
      <w:r w:rsidRPr="00D3207A">
        <w:t>analyse</w:t>
      </w:r>
      <w:r w:rsidR="006E03C3" w:rsidRPr="00D3207A">
        <w:t xml:space="preserve"> </w:t>
      </w:r>
      <w:r w:rsidRPr="00D3207A">
        <w:t>technical</w:t>
      </w:r>
      <w:r w:rsidR="006E03C3" w:rsidRPr="00D3207A">
        <w:t xml:space="preserve"> </w:t>
      </w:r>
      <w:r w:rsidRPr="00D3207A">
        <w:t>provisions</w:t>
      </w:r>
      <w:r w:rsidR="006E03C3" w:rsidRPr="00D3207A">
        <w:t xml:space="preserve"> </w:t>
      </w:r>
      <w:r w:rsidRPr="00D3207A">
        <w:t>in</w:t>
      </w:r>
      <w:r w:rsidR="006E03C3" w:rsidRPr="00D3207A">
        <w:t xml:space="preserve"> </w:t>
      </w:r>
      <w:r w:rsidRPr="00D3207A">
        <w:t>isolation but any effect on own funds and thus on the total solvency balance sheet as well as on the Solvency Capital Requirement should be taken into account in this assessment.</w:t>
      </w:r>
    </w:p>
    <w:p w14:paraId="46B10CD9" w14:textId="77777777" w:rsidR="0052417B" w:rsidRPr="00D3207A" w:rsidRDefault="0052417B" w:rsidP="005D263F">
      <w:pPr>
        <w:spacing w:after="0"/>
        <w:jc w:val="both"/>
        <w:rPr>
          <w:b/>
          <w:bCs/>
        </w:rPr>
      </w:pPr>
    </w:p>
    <w:p w14:paraId="2D88FDC2" w14:textId="74E39152" w:rsidR="003E706A" w:rsidRPr="00D3207A" w:rsidRDefault="003E706A" w:rsidP="005D263F">
      <w:pPr>
        <w:spacing w:after="0"/>
        <w:jc w:val="both"/>
        <w:rPr>
          <w:b/>
          <w:bCs/>
        </w:rPr>
      </w:pPr>
      <w:r w:rsidRPr="00D3207A">
        <w:rPr>
          <w:b/>
          <w:bCs/>
        </w:rPr>
        <w:t>Guideline</w:t>
      </w:r>
      <w:r w:rsidR="005D263F">
        <w:rPr>
          <w:b/>
          <w:bCs/>
        </w:rPr>
        <w:t xml:space="preserve"> </w:t>
      </w:r>
      <w:r w:rsidRPr="00D3207A">
        <w:rPr>
          <w:b/>
          <w:bCs/>
        </w:rPr>
        <w:t>49</w:t>
      </w:r>
      <w:r w:rsidR="005D263F">
        <w:rPr>
          <w:b/>
          <w:bCs/>
        </w:rPr>
        <w:t xml:space="preserve"> </w:t>
      </w:r>
      <w:r w:rsidRPr="00D3207A">
        <w:rPr>
          <w:b/>
          <w:bCs/>
        </w:rPr>
        <w:t>–</w:t>
      </w:r>
      <w:r w:rsidR="005D263F">
        <w:rPr>
          <w:b/>
          <w:bCs/>
        </w:rPr>
        <w:t xml:space="preserve"> </w:t>
      </w:r>
      <w:r w:rsidRPr="00D3207A">
        <w:rPr>
          <w:b/>
          <w:bCs/>
        </w:rPr>
        <w:t>Consequences</w:t>
      </w:r>
      <w:r w:rsidR="005D263F">
        <w:rPr>
          <w:b/>
          <w:bCs/>
        </w:rPr>
        <w:t xml:space="preserve"> </w:t>
      </w:r>
      <w:r w:rsidRPr="00D3207A">
        <w:rPr>
          <w:b/>
          <w:bCs/>
        </w:rPr>
        <w:t>of</w:t>
      </w:r>
      <w:r w:rsidR="005D263F">
        <w:rPr>
          <w:b/>
          <w:bCs/>
        </w:rPr>
        <w:t xml:space="preserve"> </w:t>
      </w:r>
      <w:r w:rsidRPr="00D3207A">
        <w:rPr>
          <w:b/>
          <w:bCs/>
        </w:rPr>
        <w:t>material</w:t>
      </w:r>
      <w:r w:rsidR="005D263F">
        <w:rPr>
          <w:b/>
          <w:bCs/>
        </w:rPr>
        <w:t xml:space="preserve"> </w:t>
      </w:r>
      <w:r w:rsidRPr="00D3207A">
        <w:rPr>
          <w:b/>
          <w:bCs/>
        </w:rPr>
        <w:t>error</w:t>
      </w:r>
      <w:r w:rsidR="005D263F">
        <w:rPr>
          <w:b/>
          <w:bCs/>
        </w:rPr>
        <w:t xml:space="preserve"> </w:t>
      </w:r>
      <w:r w:rsidRPr="00D3207A">
        <w:rPr>
          <w:b/>
          <w:bCs/>
        </w:rPr>
        <w:t>identified</w:t>
      </w:r>
      <w:r w:rsidR="005D263F">
        <w:rPr>
          <w:b/>
          <w:bCs/>
        </w:rPr>
        <w:t xml:space="preserve"> </w:t>
      </w:r>
      <w:r w:rsidRPr="00D3207A">
        <w:rPr>
          <w:b/>
          <w:bCs/>
        </w:rPr>
        <w:t>in</w:t>
      </w:r>
      <w:r w:rsidR="005D263F">
        <w:rPr>
          <w:b/>
          <w:bCs/>
        </w:rPr>
        <w:t xml:space="preserve"> </w:t>
      </w:r>
      <w:r w:rsidRPr="00D3207A">
        <w:rPr>
          <w:b/>
          <w:bCs/>
        </w:rPr>
        <w:t>the proportionality assessment</w:t>
      </w:r>
    </w:p>
    <w:p w14:paraId="16F56E31" w14:textId="77777777" w:rsidR="00BF159A" w:rsidRPr="00D3207A" w:rsidRDefault="00BF159A" w:rsidP="005D263F">
      <w:pPr>
        <w:spacing w:after="0"/>
        <w:jc w:val="both"/>
        <w:rPr>
          <w:b/>
          <w:bCs/>
        </w:rPr>
      </w:pPr>
    </w:p>
    <w:p w14:paraId="3C20CE2B" w14:textId="3FEEA6DC" w:rsidR="00BF159A" w:rsidRPr="00D3207A" w:rsidRDefault="003E706A" w:rsidP="005D263F">
      <w:pPr>
        <w:pStyle w:val="ListParagraph"/>
        <w:spacing w:after="0"/>
        <w:jc w:val="both"/>
      </w:pPr>
      <w:r w:rsidRPr="00D3207A">
        <w:t xml:space="preserve">Where it is unavoidable for the insurance and reinsurance undertaking to use a method which leads to material level of error, the undertaking should document this and consider the implications with regard to the reliability of the calculation of technical provisions and its overall solvency position. In particular the undertaking should assess whether the material level of error is adequately addressed in the determination of the Solvency Capital Requirement and hence in the setting of the risk margin in technical provisions. </w:t>
      </w:r>
    </w:p>
    <w:p w14:paraId="2CB9B673" w14:textId="77777777" w:rsidR="00BF159A" w:rsidRPr="00D3207A" w:rsidRDefault="00BF159A" w:rsidP="005D263F">
      <w:pPr>
        <w:spacing w:after="0"/>
        <w:jc w:val="both"/>
      </w:pPr>
    </w:p>
    <w:p w14:paraId="5406C207" w14:textId="6B991C3D" w:rsidR="003E706A" w:rsidRPr="00D3207A" w:rsidRDefault="003E706A" w:rsidP="005D263F">
      <w:pPr>
        <w:spacing w:after="0"/>
        <w:jc w:val="both"/>
        <w:rPr>
          <w:b/>
          <w:bCs/>
        </w:rPr>
      </w:pPr>
      <w:r w:rsidRPr="00D3207A">
        <w:rPr>
          <w:b/>
          <w:bCs/>
        </w:rPr>
        <w:t>Methods applied for calculations of technical provisions during the year</w:t>
      </w:r>
    </w:p>
    <w:p w14:paraId="6BDD2E6B" w14:textId="77777777" w:rsidR="00BF159A" w:rsidRPr="00D3207A" w:rsidRDefault="00BF159A" w:rsidP="005D263F">
      <w:pPr>
        <w:spacing w:after="0"/>
        <w:jc w:val="both"/>
        <w:rPr>
          <w:b/>
          <w:bCs/>
        </w:rPr>
      </w:pPr>
    </w:p>
    <w:p w14:paraId="224E68C7" w14:textId="1F4AAC32" w:rsidR="003E706A" w:rsidRPr="00D3207A" w:rsidRDefault="003E706A" w:rsidP="005D263F">
      <w:pPr>
        <w:spacing w:after="0"/>
        <w:jc w:val="both"/>
        <w:rPr>
          <w:b/>
          <w:bCs/>
        </w:rPr>
      </w:pPr>
      <w:r w:rsidRPr="00D3207A">
        <w:rPr>
          <w:b/>
          <w:bCs/>
        </w:rPr>
        <w:t>Guideline 50 – Simplified calculation of technical provisions during the year</w:t>
      </w:r>
    </w:p>
    <w:p w14:paraId="0EBCAE3E" w14:textId="77777777" w:rsidR="00BF159A" w:rsidRPr="00D3207A" w:rsidRDefault="00BF159A" w:rsidP="005D263F">
      <w:pPr>
        <w:spacing w:after="0"/>
        <w:jc w:val="both"/>
        <w:rPr>
          <w:b/>
          <w:bCs/>
        </w:rPr>
      </w:pPr>
    </w:p>
    <w:p w14:paraId="372AC43A" w14:textId="11B5CDF1" w:rsidR="003E706A" w:rsidRPr="00D3207A" w:rsidRDefault="003E706A" w:rsidP="005D263F">
      <w:pPr>
        <w:pStyle w:val="ListParagraph"/>
        <w:spacing w:after="0"/>
        <w:jc w:val="both"/>
      </w:pPr>
      <w:r w:rsidRPr="00D3207A">
        <w:t>Insurance and reinsurance undertakings may use simplifications, for example the simplification outlined in Technical Annex VI, subject to the proportionality assessment, in the quarterly calculations of technical provisions.</w:t>
      </w:r>
    </w:p>
    <w:p w14:paraId="3E1E46C3" w14:textId="77777777" w:rsidR="00BF159A" w:rsidRPr="00D3207A" w:rsidRDefault="00BF159A" w:rsidP="005D263F">
      <w:pPr>
        <w:spacing w:after="0"/>
        <w:jc w:val="both"/>
      </w:pPr>
    </w:p>
    <w:p w14:paraId="400C6D41" w14:textId="07B4F444" w:rsidR="003E706A" w:rsidRPr="00D3207A" w:rsidRDefault="003E706A" w:rsidP="005D263F">
      <w:pPr>
        <w:spacing w:after="0"/>
        <w:jc w:val="both"/>
        <w:rPr>
          <w:b/>
          <w:bCs/>
        </w:rPr>
      </w:pPr>
      <w:r w:rsidRPr="00D3207A">
        <w:rPr>
          <w:b/>
          <w:bCs/>
        </w:rPr>
        <w:t xml:space="preserve">Guideline 51 </w:t>
      </w:r>
      <w:r w:rsidR="00FC3F7B">
        <w:rPr>
          <w:b/>
          <w:bCs/>
        </w:rPr>
        <w:t>–</w:t>
      </w:r>
      <w:r w:rsidRPr="00D3207A">
        <w:rPr>
          <w:b/>
          <w:bCs/>
        </w:rPr>
        <w:t xml:space="preserve"> Computation of the best estimate for life and non-life quarterly technical provision</w:t>
      </w:r>
    </w:p>
    <w:p w14:paraId="6327D983" w14:textId="77777777" w:rsidR="00BF159A" w:rsidRPr="00D3207A" w:rsidRDefault="00BF159A" w:rsidP="005D263F">
      <w:pPr>
        <w:spacing w:after="0"/>
        <w:jc w:val="both"/>
        <w:rPr>
          <w:b/>
          <w:bCs/>
        </w:rPr>
      </w:pPr>
    </w:p>
    <w:p w14:paraId="43C0C843" w14:textId="00E53A2B" w:rsidR="003E706A" w:rsidRPr="00D3207A" w:rsidRDefault="003E706A" w:rsidP="005D263F">
      <w:pPr>
        <w:pStyle w:val="ListParagraph"/>
        <w:spacing w:after="0"/>
        <w:jc w:val="both"/>
      </w:pPr>
      <w:r w:rsidRPr="00D3207A">
        <w:t>For the quarterly calculation of the best-estimate of technical provisions, insurance and reinsurance undertakings can perform a roll-forward calculation, taking into account the cash-flows that have occurred during the quarter and the new obligations arising during the quarter. The undertaking should update assumptions of the roll-forward calculation method when the actual versus expected analysis indicates that significant changes have occurred during the quarter.</w:t>
      </w:r>
    </w:p>
    <w:p w14:paraId="7CC5E34A" w14:textId="77777777" w:rsidR="00FC3F7B" w:rsidRDefault="00FC3F7B" w:rsidP="005D263F">
      <w:pPr>
        <w:spacing w:after="0"/>
        <w:jc w:val="both"/>
        <w:rPr>
          <w:b/>
          <w:bCs/>
        </w:rPr>
      </w:pPr>
    </w:p>
    <w:p w14:paraId="1395712A" w14:textId="07F9B9B2" w:rsidR="003E706A" w:rsidRPr="00D3207A" w:rsidRDefault="003E706A" w:rsidP="005D263F">
      <w:pPr>
        <w:spacing w:after="0"/>
        <w:jc w:val="both"/>
        <w:rPr>
          <w:b/>
          <w:bCs/>
        </w:rPr>
      </w:pPr>
      <w:r w:rsidRPr="00D3207A">
        <w:rPr>
          <w:b/>
          <w:bCs/>
        </w:rPr>
        <w:t xml:space="preserve">Guideline 52 </w:t>
      </w:r>
      <w:r w:rsidR="00721954">
        <w:rPr>
          <w:b/>
          <w:bCs/>
        </w:rPr>
        <w:t>–</w:t>
      </w:r>
      <w:r w:rsidRPr="00D3207A">
        <w:rPr>
          <w:b/>
          <w:bCs/>
        </w:rPr>
        <w:t xml:space="preserve"> Computation of the best estimate for life quarterly technical provision</w:t>
      </w:r>
    </w:p>
    <w:p w14:paraId="416E809C" w14:textId="77777777" w:rsidR="00BF159A" w:rsidRPr="00D3207A" w:rsidRDefault="00BF159A" w:rsidP="005D263F">
      <w:pPr>
        <w:spacing w:after="0"/>
        <w:jc w:val="both"/>
        <w:rPr>
          <w:b/>
          <w:bCs/>
        </w:rPr>
      </w:pPr>
    </w:p>
    <w:p w14:paraId="103C3F36" w14:textId="29AB82F8" w:rsidR="005D263F" w:rsidRPr="00221FC9" w:rsidRDefault="003E706A" w:rsidP="005D263F">
      <w:pPr>
        <w:pStyle w:val="ListParagraph"/>
        <w:spacing w:after="0"/>
        <w:jc w:val="both"/>
      </w:pPr>
      <w:r w:rsidRPr="00D3207A">
        <w:t xml:space="preserve">For the quarterly roll-forward calculation of the best-estimate of life technical provisions for index-linked, unit-linked, with-profit contracts or contracts with financial guaranties, insurance and reinsurance undertakings should make use of the sensitivity analysis as required in Article 272(5) of </w:t>
      </w:r>
      <w:commentRangeStart w:id="6"/>
      <w:r w:rsidR="005D263F">
        <w:t>the</w:t>
      </w:r>
      <w:r w:rsidRPr="00D3207A">
        <w:t xml:space="preserve"> Delegated Regulation </w:t>
      </w:r>
      <w:commentRangeEnd w:id="6"/>
      <w:r w:rsidR="0028755A">
        <w:rPr>
          <w:rStyle w:val="CommentReference"/>
        </w:rPr>
        <w:commentReference w:id="6"/>
      </w:r>
      <w:r w:rsidRPr="00D3207A">
        <w:t>to assess the sensitivity of the best estimate to the relevant financial parameters.</w:t>
      </w:r>
      <w:r w:rsidR="005D263F">
        <w:t xml:space="preserve"> </w:t>
      </w:r>
      <w:r w:rsidR="005D263F" w:rsidRPr="005D263F">
        <w:t xml:space="preserve">They should document </w:t>
      </w:r>
      <w:r w:rsidR="005D263F">
        <w:t>the</w:t>
      </w:r>
      <w:r w:rsidR="005D263F" w:rsidRPr="005D263F">
        <w:t xml:space="preserve"> choice </w:t>
      </w:r>
      <w:r w:rsidR="005D263F">
        <w:t>of</w:t>
      </w:r>
      <w:r w:rsidR="005D263F" w:rsidRPr="005D263F">
        <w:t xml:space="preserve"> the set of </w:t>
      </w:r>
      <w:r w:rsidR="005D263F">
        <w:t xml:space="preserve">financial </w:t>
      </w:r>
      <w:r w:rsidR="005D263F" w:rsidRPr="005D263F">
        <w:t>parameters and their on-going adequacy to their portfolio of assets, as well as the relevance and the accuracy of the sensitivity analysis.</w:t>
      </w:r>
    </w:p>
    <w:p w14:paraId="22CD8047" w14:textId="77777777" w:rsidR="004A7A73" w:rsidRPr="00D3207A" w:rsidRDefault="004A7A73" w:rsidP="005D263F">
      <w:pPr>
        <w:spacing w:after="0"/>
        <w:jc w:val="both"/>
      </w:pPr>
    </w:p>
    <w:p w14:paraId="3C66B43E" w14:textId="70FFBD0B" w:rsidR="003E706A" w:rsidRPr="00D3207A" w:rsidRDefault="003E706A" w:rsidP="005D263F">
      <w:pPr>
        <w:spacing w:after="0"/>
        <w:jc w:val="both"/>
        <w:rPr>
          <w:b/>
          <w:bCs/>
        </w:rPr>
      </w:pPr>
      <w:r w:rsidRPr="00D3207A">
        <w:rPr>
          <w:b/>
          <w:bCs/>
        </w:rPr>
        <w:lastRenderedPageBreak/>
        <w:t>Methodologies</w:t>
      </w:r>
      <w:r w:rsidR="005D263F">
        <w:rPr>
          <w:b/>
          <w:bCs/>
        </w:rPr>
        <w:t xml:space="preserve"> </w:t>
      </w:r>
      <w:r w:rsidRPr="00D3207A">
        <w:rPr>
          <w:b/>
          <w:bCs/>
        </w:rPr>
        <w:t>for</w:t>
      </w:r>
      <w:r w:rsidR="005D263F">
        <w:rPr>
          <w:b/>
          <w:bCs/>
        </w:rPr>
        <w:t xml:space="preserve"> </w:t>
      </w:r>
      <w:r w:rsidRPr="00D3207A">
        <w:rPr>
          <w:b/>
          <w:bCs/>
        </w:rPr>
        <w:t>the</w:t>
      </w:r>
      <w:r w:rsidR="005D263F">
        <w:rPr>
          <w:b/>
          <w:bCs/>
        </w:rPr>
        <w:t xml:space="preserve"> </w:t>
      </w:r>
      <w:r w:rsidRPr="00D3207A">
        <w:rPr>
          <w:b/>
          <w:bCs/>
        </w:rPr>
        <w:t>valuation</w:t>
      </w:r>
      <w:r w:rsidR="005D263F">
        <w:rPr>
          <w:b/>
          <w:bCs/>
        </w:rPr>
        <w:t xml:space="preserve"> </w:t>
      </w:r>
      <w:r w:rsidRPr="00D3207A">
        <w:rPr>
          <w:b/>
          <w:bCs/>
        </w:rPr>
        <w:t>of</w:t>
      </w:r>
      <w:r w:rsidR="005D263F">
        <w:rPr>
          <w:b/>
          <w:bCs/>
        </w:rPr>
        <w:t xml:space="preserve"> </w:t>
      </w:r>
      <w:r w:rsidRPr="00D3207A">
        <w:rPr>
          <w:b/>
          <w:bCs/>
        </w:rPr>
        <w:t>contractual</w:t>
      </w:r>
      <w:r w:rsidR="005D263F">
        <w:rPr>
          <w:b/>
          <w:bCs/>
        </w:rPr>
        <w:t xml:space="preserve"> </w:t>
      </w:r>
      <w:r w:rsidRPr="00D3207A">
        <w:rPr>
          <w:b/>
          <w:bCs/>
        </w:rPr>
        <w:t>options</w:t>
      </w:r>
      <w:r w:rsidR="005D263F">
        <w:rPr>
          <w:b/>
          <w:bCs/>
        </w:rPr>
        <w:t xml:space="preserve"> </w:t>
      </w:r>
      <w:r w:rsidRPr="00D3207A">
        <w:rPr>
          <w:b/>
          <w:bCs/>
        </w:rPr>
        <w:t>and</w:t>
      </w:r>
      <w:r w:rsidR="005D263F">
        <w:rPr>
          <w:b/>
          <w:bCs/>
        </w:rPr>
        <w:t xml:space="preserve"> </w:t>
      </w:r>
      <w:r w:rsidRPr="00D3207A">
        <w:rPr>
          <w:b/>
          <w:bCs/>
        </w:rPr>
        <w:t>financial guarantees</w:t>
      </w:r>
    </w:p>
    <w:p w14:paraId="777A1F86" w14:textId="77777777" w:rsidR="004A7A73" w:rsidRPr="00D3207A" w:rsidRDefault="004A7A73" w:rsidP="005D263F">
      <w:pPr>
        <w:spacing w:after="0"/>
        <w:jc w:val="both"/>
        <w:rPr>
          <w:b/>
          <w:bCs/>
        </w:rPr>
      </w:pPr>
    </w:p>
    <w:p w14:paraId="4B1D867D" w14:textId="76281031" w:rsidR="003E706A" w:rsidRPr="00D3207A" w:rsidRDefault="003E706A" w:rsidP="005D263F">
      <w:pPr>
        <w:spacing w:after="0"/>
        <w:jc w:val="both"/>
        <w:rPr>
          <w:b/>
          <w:bCs/>
        </w:rPr>
      </w:pPr>
      <w:r w:rsidRPr="00D3207A">
        <w:rPr>
          <w:b/>
          <w:bCs/>
        </w:rPr>
        <w:t xml:space="preserve">Guideline 53 </w:t>
      </w:r>
      <w:r w:rsidR="00721954">
        <w:rPr>
          <w:b/>
          <w:bCs/>
        </w:rPr>
        <w:t>–</w:t>
      </w:r>
      <w:r w:rsidRPr="00D3207A">
        <w:rPr>
          <w:b/>
          <w:bCs/>
        </w:rPr>
        <w:t xml:space="preserve"> Decision on methodology</w:t>
      </w:r>
    </w:p>
    <w:p w14:paraId="776C10CB" w14:textId="77777777" w:rsidR="004A7A73" w:rsidRPr="00D3207A" w:rsidRDefault="004A7A73" w:rsidP="005D263F">
      <w:pPr>
        <w:spacing w:after="0"/>
        <w:jc w:val="both"/>
      </w:pPr>
    </w:p>
    <w:p w14:paraId="6733EFA0" w14:textId="746EAE65" w:rsidR="003E706A" w:rsidRPr="00D3207A" w:rsidRDefault="003E706A" w:rsidP="005D263F">
      <w:pPr>
        <w:pStyle w:val="ListParagraph"/>
        <w:numPr>
          <w:ilvl w:val="0"/>
          <w:numId w:val="103"/>
        </w:numPr>
        <w:spacing w:after="0"/>
      </w:pPr>
      <w:r w:rsidRPr="00D3207A">
        <w:t>Insurance and reinsurance undertakings should ensure that the valuation of contractual options and financial guarantees is based on adequate, applicable and relevant actuarial and statistical methodologies taking into account the developments in this field.</w:t>
      </w:r>
    </w:p>
    <w:p w14:paraId="1828EDCA" w14:textId="77777777" w:rsidR="0093584B" w:rsidRPr="00D3207A" w:rsidRDefault="0093584B" w:rsidP="005D263F">
      <w:pPr>
        <w:pStyle w:val="ListParagraph"/>
        <w:spacing w:after="0"/>
      </w:pPr>
    </w:p>
    <w:p w14:paraId="5210F671" w14:textId="018F6325" w:rsidR="003E706A" w:rsidRPr="00D3207A" w:rsidRDefault="003E706A" w:rsidP="005D263F">
      <w:pPr>
        <w:pStyle w:val="ListParagraph"/>
        <w:numPr>
          <w:ilvl w:val="0"/>
          <w:numId w:val="103"/>
        </w:numPr>
        <w:spacing w:after="0"/>
      </w:pPr>
      <w:r w:rsidRPr="00D3207A">
        <w:t>Insurance and reinsurance undertakings should ensure that at least the following aspects are considered when deciding on a methodology to determine the value of contractual options and financial guarantees:</w:t>
      </w:r>
    </w:p>
    <w:p w14:paraId="5F692CF5" w14:textId="26E0627A" w:rsidR="003E706A" w:rsidRPr="00D3207A" w:rsidRDefault="005D263F" w:rsidP="005D263F">
      <w:pPr>
        <w:pStyle w:val="ListParagraph"/>
        <w:numPr>
          <w:ilvl w:val="0"/>
          <w:numId w:val="104"/>
        </w:numPr>
        <w:spacing w:after="0"/>
        <w:ind w:left="993" w:hanging="284"/>
      </w:pPr>
      <w:r>
        <w:t>t</w:t>
      </w:r>
      <w:r w:rsidR="003E706A" w:rsidRPr="00D3207A">
        <w:t>he</w:t>
      </w:r>
      <w:r>
        <w:t xml:space="preserve"> </w:t>
      </w:r>
      <w:r w:rsidR="003E706A" w:rsidRPr="00D3207A">
        <w:t>nature,</w:t>
      </w:r>
      <w:r>
        <w:t xml:space="preserve"> </w:t>
      </w:r>
      <w:r w:rsidR="003E706A" w:rsidRPr="00D3207A">
        <w:t>scale</w:t>
      </w:r>
      <w:r>
        <w:t xml:space="preserve"> </w:t>
      </w:r>
      <w:r w:rsidR="003E706A" w:rsidRPr="00D3207A">
        <w:t>and</w:t>
      </w:r>
      <w:r w:rsidR="006E03C3" w:rsidRPr="00D3207A">
        <w:t xml:space="preserve"> </w:t>
      </w:r>
      <w:r w:rsidR="003E706A" w:rsidRPr="00D3207A">
        <w:t>complexity</w:t>
      </w:r>
      <w:r w:rsidR="006E03C3" w:rsidRPr="00D3207A">
        <w:t xml:space="preserve"> </w:t>
      </w:r>
      <w:r w:rsidR="003E706A" w:rsidRPr="00D3207A">
        <w:t>of</w:t>
      </w:r>
      <w:r>
        <w:t xml:space="preserve"> </w:t>
      </w:r>
      <w:r w:rsidR="003E706A" w:rsidRPr="00D3207A">
        <w:t>the</w:t>
      </w:r>
      <w:r>
        <w:t xml:space="preserve"> </w:t>
      </w:r>
      <w:r w:rsidR="003E706A" w:rsidRPr="00D3207A">
        <w:t>underlying</w:t>
      </w:r>
      <w:r w:rsidR="006E03C3" w:rsidRPr="00D3207A">
        <w:t xml:space="preserve"> </w:t>
      </w:r>
      <w:r w:rsidR="003E706A" w:rsidRPr="00D3207A">
        <w:t>risks</w:t>
      </w:r>
      <w:r>
        <w:t xml:space="preserve"> </w:t>
      </w:r>
      <w:r w:rsidR="003E706A" w:rsidRPr="00D3207A">
        <w:t>and their interdependence during the lifetime of the contracts</w:t>
      </w:r>
      <w:r>
        <w:t>;</w:t>
      </w:r>
    </w:p>
    <w:p w14:paraId="60EE8E0A" w14:textId="571F76C7" w:rsidR="003E706A" w:rsidRPr="00D3207A" w:rsidRDefault="005D263F" w:rsidP="005D263F">
      <w:pPr>
        <w:pStyle w:val="ListParagraph"/>
        <w:numPr>
          <w:ilvl w:val="0"/>
          <w:numId w:val="104"/>
        </w:numPr>
        <w:spacing w:after="0"/>
        <w:ind w:left="993" w:hanging="284"/>
      </w:pPr>
      <w:r>
        <w:t>p</w:t>
      </w:r>
      <w:r w:rsidR="003E706A" w:rsidRPr="00D3207A">
        <w:t>ossible insights into the nature of options and guarantees and their main drivers</w:t>
      </w:r>
      <w:r>
        <w:t>;</w:t>
      </w:r>
    </w:p>
    <w:p w14:paraId="40AB38B8" w14:textId="1345B3D6" w:rsidR="003E706A" w:rsidRPr="00D3207A" w:rsidRDefault="005D263F" w:rsidP="005D263F">
      <w:pPr>
        <w:pStyle w:val="ListParagraph"/>
        <w:numPr>
          <w:ilvl w:val="0"/>
          <w:numId w:val="104"/>
        </w:numPr>
        <w:spacing w:after="0"/>
        <w:ind w:left="993" w:hanging="284"/>
      </w:pPr>
      <w:r>
        <w:t>a</w:t>
      </w:r>
      <w:r w:rsidR="003E706A" w:rsidRPr="00D3207A">
        <w:t xml:space="preserve"> thorough examination on the necessity to include additional and intricate computational complexity</w:t>
      </w:r>
      <w:r>
        <w:t>;</w:t>
      </w:r>
    </w:p>
    <w:p w14:paraId="03ABBF11" w14:textId="43F5CC53" w:rsidR="003E706A" w:rsidRPr="00D3207A" w:rsidRDefault="005D263F" w:rsidP="005D263F">
      <w:pPr>
        <w:pStyle w:val="ListParagraph"/>
        <w:numPr>
          <w:ilvl w:val="0"/>
          <w:numId w:val="104"/>
        </w:numPr>
        <w:spacing w:after="0"/>
        <w:ind w:left="993" w:hanging="284"/>
      </w:pPr>
      <w:r>
        <w:t>j</w:t>
      </w:r>
      <w:r w:rsidR="003E706A" w:rsidRPr="00D3207A">
        <w:t>ustification on the appropriateness of the method.</w:t>
      </w:r>
    </w:p>
    <w:p w14:paraId="708A5B92" w14:textId="77777777" w:rsidR="003477B7" w:rsidRPr="00D3207A" w:rsidRDefault="003477B7" w:rsidP="005D263F">
      <w:pPr>
        <w:spacing w:after="0"/>
        <w:jc w:val="both"/>
        <w:rPr>
          <w:b/>
          <w:bCs/>
        </w:rPr>
      </w:pPr>
    </w:p>
    <w:p w14:paraId="52722C89" w14:textId="7E6129B7" w:rsidR="005370D1" w:rsidRPr="00D3207A" w:rsidRDefault="005370D1" w:rsidP="005D263F">
      <w:pPr>
        <w:spacing w:after="0"/>
        <w:jc w:val="both"/>
        <w:rPr>
          <w:b/>
          <w:bCs/>
        </w:rPr>
      </w:pPr>
      <w:r w:rsidRPr="00D3207A">
        <w:rPr>
          <w:b/>
          <w:bCs/>
        </w:rPr>
        <w:t>Guideline 53A – Use of stochastic valuation</w:t>
      </w:r>
    </w:p>
    <w:p w14:paraId="52326690" w14:textId="77777777" w:rsidR="00BF159A" w:rsidRPr="00D3207A" w:rsidRDefault="00BF159A" w:rsidP="005D263F">
      <w:pPr>
        <w:spacing w:after="0"/>
        <w:jc w:val="both"/>
        <w:rPr>
          <w:b/>
          <w:bCs/>
        </w:rPr>
      </w:pPr>
    </w:p>
    <w:p w14:paraId="68433182" w14:textId="7D67C684" w:rsidR="005370D1" w:rsidRPr="00D3207A" w:rsidRDefault="005370D1" w:rsidP="005D263F">
      <w:pPr>
        <w:pStyle w:val="ListParagraph"/>
        <w:numPr>
          <w:ilvl w:val="0"/>
          <w:numId w:val="62"/>
        </w:numPr>
        <w:spacing w:after="0"/>
        <w:jc w:val="both"/>
      </w:pPr>
      <w:r w:rsidRPr="00D3207A">
        <w:t>Insurance and reinsurance undertakings should use stochastic modelling for the valuation of technical provisions of contracts whose cash flows depend on future events and developments, in particular those with material options and guarantees.</w:t>
      </w:r>
    </w:p>
    <w:p w14:paraId="1137B52F" w14:textId="77777777" w:rsidR="00A37C64" w:rsidRPr="00D3207A" w:rsidRDefault="00A37C64" w:rsidP="005D263F">
      <w:pPr>
        <w:pStyle w:val="ListParagraph"/>
        <w:spacing w:after="0"/>
        <w:jc w:val="both"/>
      </w:pPr>
    </w:p>
    <w:p w14:paraId="5F51E5A3" w14:textId="25D14FA2" w:rsidR="004A7A73" w:rsidRPr="00D3207A" w:rsidRDefault="00961467" w:rsidP="005D263F">
      <w:pPr>
        <w:pStyle w:val="ListParagraph"/>
        <w:numPr>
          <w:ilvl w:val="0"/>
          <w:numId w:val="62"/>
        </w:numPr>
        <w:spacing w:after="0"/>
        <w:jc w:val="both"/>
      </w:pPr>
      <w:r w:rsidRPr="00D3207A">
        <w:t>When assessing whether stochastic modelling is needed to adequately capture the value of options and guarantees, insurance and reinsurance undertakings should, in particular but not only, consider the following cases:</w:t>
      </w:r>
    </w:p>
    <w:p w14:paraId="2CE91638" w14:textId="2A431EE6" w:rsidR="00961467" w:rsidRPr="00D3207A" w:rsidRDefault="00BF159A" w:rsidP="00610484">
      <w:pPr>
        <w:pStyle w:val="ListParagraph"/>
        <w:spacing w:after="0"/>
        <w:ind w:left="993" w:hanging="284"/>
        <w:jc w:val="both"/>
      </w:pPr>
      <w:r w:rsidRPr="00D3207A">
        <w:t>a)</w:t>
      </w:r>
      <w:r w:rsidR="00610484">
        <w:tab/>
      </w:r>
      <w:r w:rsidRPr="00D3207A">
        <w:t>any kind of profit-sharing mechanism where the future benefits depend on the return of the assets</w:t>
      </w:r>
      <w:r w:rsidR="00610484">
        <w:t>;</w:t>
      </w:r>
    </w:p>
    <w:p w14:paraId="0EDF8290" w14:textId="110B4B8D" w:rsidR="00961467" w:rsidRPr="00D3207A" w:rsidRDefault="00BF159A" w:rsidP="00610484">
      <w:pPr>
        <w:pStyle w:val="ListParagraph"/>
        <w:spacing w:after="0"/>
        <w:ind w:left="993" w:hanging="284"/>
        <w:jc w:val="both"/>
      </w:pPr>
      <w:r w:rsidRPr="00D3207A">
        <w:t>b)</w:t>
      </w:r>
      <w:r w:rsidR="00610484">
        <w:tab/>
      </w:r>
      <w:r w:rsidRPr="00D3207A">
        <w:t>financial guarantees(e.g. technical rates, even without profit sharing mechanism), in particular, but not only, where combined with options (e.g. surrender options) whose dynamic modelling would increase the present value of cash flows in some scenarios.</w:t>
      </w:r>
    </w:p>
    <w:p w14:paraId="2CB49264" w14:textId="77777777" w:rsidR="004A7A73" w:rsidRPr="00D3207A" w:rsidRDefault="004A7A73" w:rsidP="005D263F">
      <w:pPr>
        <w:spacing w:after="0"/>
        <w:jc w:val="both"/>
      </w:pPr>
    </w:p>
    <w:p w14:paraId="6ECDA8F1" w14:textId="1010CE24" w:rsidR="003E706A" w:rsidRPr="00D3207A" w:rsidRDefault="003E706A" w:rsidP="005D263F">
      <w:pPr>
        <w:spacing w:after="0"/>
        <w:jc w:val="both"/>
        <w:rPr>
          <w:b/>
          <w:bCs/>
        </w:rPr>
      </w:pPr>
      <w:r w:rsidRPr="00D3207A">
        <w:rPr>
          <w:b/>
          <w:bCs/>
        </w:rPr>
        <w:t>Guideline 54 – Method</w:t>
      </w:r>
      <w:r w:rsidR="00610484">
        <w:rPr>
          <w:b/>
          <w:bCs/>
        </w:rPr>
        <w:t>ologies</w:t>
      </w:r>
      <w:r w:rsidRPr="00D3207A">
        <w:rPr>
          <w:b/>
          <w:bCs/>
        </w:rPr>
        <w:t xml:space="preserve"> for the valuation of contractual options and financial guarantees</w:t>
      </w:r>
    </w:p>
    <w:p w14:paraId="13530E0B" w14:textId="77777777" w:rsidR="00422259" w:rsidRPr="00D3207A" w:rsidRDefault="00422259" w:rsidP="005D263F">
      <w:pPr>
        <w:spacing w:after="0"/>
        <w:jc w:val="both"/>
        <w:rPr>
          <w:b/>
          <w:bCs/>
        </w:rPr>
      </w:pPr>
    </w:p>
    <w:p w14:paraId="2C5AC8F7" w14:textId="2789AD36" w:rsidR="003E706A" w:rsidRPr="00D3207A" w:rsidRDefault="003E706A" w:rsidP="005D263F">
      <w:pPr>
        <w:pStyle w:val="ListParagraph"/>
        <w:numPr>
          <w:ilvl w:val="0"/>
          <w:numId w:val="63"/>
        </w:numPr>
        <w:spacing w:after="0"/>
        <w:jc w:val="both"/>
      </w:pPr>
      <w:r w:rsidRPr="00D3207A">
        <w:t xml:space="preserve">Insurance and reinsurance undertakings should apply the proportionality assessment referred to in Article 56 of </w:t>
      </w:r>
      <w:commentRangeStart w:id="7"/>
      <w:r w:rsidR="0028755A">
        <w:t xml:space="preserve">the </w:t>
      </w:r>
      <w:r w:rsidRPr="00D3207A">
        <w:t xml:space="preserve">Delegated Regulation </w:t>
      </w:r>
      <w:commentRangeEnd w:id="7"/>
      <w:r w:rsidR="0028755A">
        <w:rPr>
          <w:rStyle w:val="CommentReference"/>
        </w:rPr>
        <w:commentReference w:id="7"/>
      </w:r>
      <w:r w:rsidRPr="00D3207A">
        <w:t>when considering the use of a closed formula approach or a stochastic approach for the valuation of contractual options and financial guarantees included in the insurance contracts.</w:t>
      </w:r>
    </w:p>
    <w:p w14:paraId="5BC0A196" w14:textId="77777777" w:rsidR="0093584B" w:rsidRPr="00D3207A" w:rsidRDefault="0093584B" w:rsidP="005D263F">
      <w:pPr>
        <w:pStyle w:val="ListParagraph"/>
        <w:spacing w:after="0"/>
        <w:jc w:val="both"/>
      </w:pPr>
    </w:p>
    <w:p w14:paraId="73702A0C" w14:textId="72AF0C0B" w:rsidR="003E706A" w:rsidRPr="00D3207A" w:rsidRDefault="002B5557" w:rsidP="005D263F">
      <w:pPr>
        <w:pStyle w:val="ListParagraph"/>
        <w:numPr>
          <w:ilvl w:val="0"/>
          <w:numId w:val="63"/>
        </w:numPr>
        <w:spacing w:after="0"/>
        <w:jc w:val="both"/>
      </w:pPr>
      <w:r w:rsidRPr="00D3207A">
        <w:t>Whe</w:t>
      </w:r>
      <w:r w:rsidR="00610484">
        <w:t>neve</w:t>
      </w:r>
      <w:r w:rsidRPr="00D3207A">
        <w:t>r neither method is possible, undertakings may use as a last resort an approach consisting in the following steps:</w:t>
      </w:r>
    </w:p>
    <w:p w14:paraId="65908D84" w14:textId="678F15C0" w:rsidR="003E706A" w:rsidRPr="00D3207A" w:rsidRDefault="00610484" w:rsidP="00610484">
      <w:pPr>
        <w:pStyle w:val="ListParagraph"/>
        <w:numPr>
          <w:ilvl w:val="0"/>
          <w:numId w:val="102"/>
        </w:numPr>
        <w:spacing w:after="0"/>
        <w:ind w:left="993" w:hanging="284"/>
        <w:jc w:val="both"/>
      </w:pPr>
      <w:r>
        <w:t>a</w:t>
      </w:r>
      <w:r w:rsidR="003E706A" w:rsidRPr="00D3207A">
        <w:t>nalysis of the characteristics of the option or guarantee and of how it would affect the cash-flows</w:t>
      </w:r>
      <w:r>
        <w:t>;</w:t>
      </w:r>
    </w:p>
    <w:p w14:paraId="784406C0" w14:textId="495A917A" w:rsidR="003E706A" w:rsidRPr="00D3207A" w:rsidRDefault="00610484" w:rsidP="00610484">
      <w:pPr>
        <w:pStyle w:val="ListParagraph"/>
        <w:numPr>
          <w:ilvl w:val="0"/>
          <w:numId w:val="102"/>
        </w:numPr>
        <w:spacing w:after="0"/>
        <w:ind w:left="993" w:hanging="284"/>
        <w:jc w:val="both"/>
      </w:pPr>
      <w:r>
        <w:t>a</w:t>
      </w:r>
      <w:r w:rsidR="003E706A" w:rsidRPr="00D3207A">
        <w:t>nalysis of the amount the option or guarantee is expected to be currently in-the-money or out-of-the-money</w:t>
      </w:r>
      <w:r>
        <w:t>;</w:t>
      </w:r>
    </w:p>
    <w:p w14:paraId="4B41F718" w14:textId="6EFC6AF0" w:rsidR="003E706A" w:rsidRPr="00D3207A" w:rsidRDefault="00610484" w:rsidP="00610484">
      <w:pPr>
        <w:pStyle w:val="ListParagraph"/>
        <w:numPr>
          <w:ilvl w:val="0"/>
          <w:numId w:val="102"/>
        </w:numPr>
        <w:spacing w:after="0"/>
        <w:ind w:left="993" w:hanging="284"/>
        <w:jc w:val="both"/>
      </w:pPr>
      <w:r>
        <w:lastRenderedPageBreak/>
        <w:t>d</w:t>
      </w:r>
      <w:r w:rsidR="003E706A" w:rsidRPr="00D3207A">
        <w:t>etermination of the cost of the option or guarantees is expected to vary with time</w:t>
      </w:r>
      <w:r>
        <w:t>;</w:t>
      </w:r>
    </w:p>
    <w:p w14:paraId="7760D3C3" w14:textId="53011A18" w:rsidR="003E706A" w:rsidRPr="00D3207A" w:rsidRDefault="00610484" w:rsidP="00610484">
      <w:pPr>
        <w:pStyle w:val="ListParagraph"/>
        <w:numPr>
          <w:ilvl w:val="0"/>
          <w:numId w:val="102"/>
        </w:numPr>
        <w:spacing w:after="0"/>
        <w:ind w:left="993" w:hanging="284"/>
        <w:jc w:val="both"/>
      </w:pPr>
      <w:r>
        <w:t>e</w:t>
      </w:r>
      <w:r w:rsidR="003E706A" w:rsidRPr="00D3207A">
        <w:t>stimation of the probability that the option or guarantee would become more or less costly in the future.</w:t>
      </w:r>
    </w:p>
    <w:p w14:paraId="63CA0F41" w14:textId="77777777" w:rsidR="0052417B" w:rsidRPr="00D3207A" w:rsidRDefault="0052417B" w:rsidP="005D263F">
      <w:pPr>
        <w:spacing w:after="0"/>
        <w:jc w:val="both"/>
        <w:rPr>
          <w:b/>
          <w:bCs/>
        </w:rPr>
      </w:pPr>
    </w:p>
    <w:p w14:paraId="58A8C7FD" w14:textId="08B54614" w:rsidR="003E706A" w:rsidRPr="00D3207A" w:rsidRDefault="003E706A" w:rsidP="005D263F">
      <w:pPr>
        <w:spacing w:after="0"/>
        <w:jc w:val="both"/>
        <w:rPr>
          <w:b/>
          <w:bCs/>
        </w:rPr>
      </w:pPr>
      <w:r w:rsidRPr="00D3207A">
        <w:rPr>
          <w:b/>
          <w:bCs/>
        </w:rPr>
        <w:t xml:space="preserve">Economic </w:t>
      </w:r>
      <w:r w:rsidR="003954F5">
        <w:rPr>
          <w:b/>
          <w:bCs/>
        </w:rPr>
        <w:t>s</w:t>
      </w:r>
      <w:r w:rsidRPr="00D3207A">
        <w:rPr>
          <w:b/>
          <w:bCs/>
        </w:rPr>
        <w:t xml:space="preserve">cenario </w:t>
      </w:r>
      <w:r w:rsidR="003954F5">
        <w:rPr>
          <w:b/>
          <w:bCs/>
        </w:rPr>
        <w:t>g</w:t>
      </w:r>
      <w:r w:rsidRPr="00D3207A">
        <w:rPr>
          <w:b/>
          <w:bCs/>
        </w:rPr>
        <w:t>enerators (ESG)</w:t>
      </w:r>
    </w:p>
    <w:p w14:paraId="05B1DA56" w14:textId="77777777" w:rsidR="00422259" w:rsidRPr="00D3207A" w:rsidRDefault="00422259" w:rsidP="005D263F">
      <w:pPr>
        <w:spacing w:after="0"/>
        <w:jc w:val="both"/>
        <w:rPr>
          <w:b/>
          <w:bCs/>
        </w:rPr>
      </w:pPr>
    </w:p>
    <w:p w14:paraId="5E0D2154" w14:textId="2EE3C9AB" w:rsidR="003E706A" w:rsidRPr="00D3207A" w:rsidRDefault="003E706A" w:rsidP="005D263F">
      <w:pPr>
        <w:spacing w:after="0"/>
        <w:jc w:val="both"/>
        <w:rPr>
          <w:b/>
          <w:bCs/>
        </w:rPr>
      </w:pPr>
      <w:r w:rsidRPr="00D3207A">
        <w:rPr>
          <w:b/>
          <w:bCs/>
        </w:rPr>
        <w:t xml:space="preserve">Guideline 55 </w:t>
      </w:r>
      <w:r w:rsidR="00FC3F7B">
        <w:rPr>
          <w:b/>
          <w:bCs/>
        </w:rPr>
        <w:t>–</w:t>
      </w:r>
      <w:r w:rsidRPr="00D3207A">
        <w:rPr>
          <w:b/>
          <w:bCs/>
        </w:rPr>
        <w:t xml:space="preserve"> Documentation of the ESG</w:t>
      </w:r>
    </w:p>
    <w:p w14:paraId="29F5478C" w14:textId="77777777" w:rsidR="00422259" w:rsidRPr="00D3207A" w:rsidRDefault="00422259" w:rsidP="005D263F">
      <w:pPr>
        <w:spacing w:after="0"/>
        <w:jc w:val="both"/>
        <w:rPr>
          <w:b/>
          <w:bCs/>
        </w:rPr>
      </w:pPr>
    </w:p>
    <w:p w14:paraId="676F7682" w14:textId="02E82574" w:rsidR="003E706A" w:rsidRPr="00D3207A" w:rsidRDefault="003E706A" w:rsidP="005D263F">
      <w:pPr>
        <w:pStyle w:val="ListParagraph"/>
        <w:spacing w:after="0"/>
        <w:jc w:val="both"/>
      </w:pPr>
      <w:r w:rsidRPr="00D3207A">
        <w:t>Insurance and reinsurance undertakings should stand ready to share the following documents with supervisors on request:</w:t>
      </w:r>
    </w:p>
    <w:p w14:paraId="4DBD3CF5" w14:textId="70C57844" w:rsidR="003E706A" w:rsidRPr="00D3207A" w:rsidRDefault="003E706A" w:rsidP="003954F5">
      <w:pPr>
        <w:pStyle w:val="ListParagraph"/>
        <w:numPr>
          <w:ilvl w:val="0"/>
          <w:numId w:val="105"/>
        </w:numPr>
        <w:spacing w:after="0"/>
        <w:ind w:left="993" w:hanging="284"/>
        <w:jc w:val="both"/>
      </w:pPr>
      <w:r w:rsidRPr="00D3207A">
        <w:t>the mathematical models on which the ESG is based and the reason for</w:t>
      </w:r>
      <w:r w:rsidR="006E03C3" w:rsidRPr="00D3207A">
        <w:t xml:space="preserve"> </w:t>
      </w:r>
      <w:r w:rsidRPr="00D3207A">
        <w:t>their choice</w:t>
      </w:r>
      <w:r w:rsidR="003954F5">
        <w:t>;</w:t>
      </w:r>
    </w:p>
    <w:p w14:paraId="6FD86D8D" w14:textId="3D6E1FE9" w:rsidR="003E706A" w:rsidRPr="00D3207A" w:rsidRDefault="003E706A" w:rsidP="003954F5">
      <w:pPr>
        <w:pStyle w:val="ListParagraph"/>
        <w:numPr>
          <w:ilvl w:val="0"/>
          <w:numId w:val="105"/>
        </w:numPr>
        <w:spacing w:after="0"/>
        <w:ind w:left="993" w:hanging="284"/>
        <w:jc w:val="both"/>
      </w:pPr>
      <w:r w:rsidRPr="00D3207A">
        <w:t>the assessment of quality of data</w:t>
      </w:r>
      <w:r w:rsidR="003954F5">
        <w:t>;</w:t>
      </w:r>
    </w:p>
    <w:p w14:paraId="5CEF9F4D" w14:textId="3DB9BCE6" w:rsidR="003E706A" w:rsidRPr="00D3207A" w:rsidRDefault="003E706A" w:rsidP="003954F5">
      <w:pPr>
        <w:pStyle w:val="ListParagraph"/>
        <w:numPr>
          <w:ilvl w:val="0"/>
          <w:numId w:val="105"/>
        </w:numPr>
        <w:spacing w:after="0"/>
        <w:ind w:left="993" w:hanging="284"/>
        <w:jc w:val="both"/>
      </w:pPr>
      <w:r w:rsidRPr="00D3207A">
        <w:t>the calibration process</w:t>
      </w:r>
      <w:r w:rsidR="003954F5">
        <w:t>;</w:t>
      </w:r>
    </w:p>
    <w:p w14:paraId="137488E9" w14:textId="43729E5A" w:rsidR="003E706A" w:rsidRPr="00D3207A" w:rsidRDefault="003E706A" w:rsidP="003954F5">
      <w:pPr>
        <w:pStyle w:val="ListParagraph"/>
        <w:numPr>
          <w:ilvl w:val="0"/>
          <w:numId w:val="105"/>
        </w:numPr>
        <w:spacing w:after="0"/>
        <w:ind w:left="993" w:hanging="284"/>
        <w:jc w:val="both"/>
      </w:pPr>
      <w:r w:rsidRPr="00D3207A">
        <w:t>the parameters resulting from the calibration process (especially those corresponding to the volatility and correlation market risk drivers).</w:t>
      </w:r>
    </w:p>
    <w:p w14:paraId="75B255E5" w14:textId="77777777" w:rsidR="00422259" w:rsidRPr="00D3207A" w:rsidRDefault="00422259" w:rsidP="005D263F">
      <w:pPr>
        <w:spacing w:after="0"/>
        <w:jc w:val="both"/>
      </w:pPr>
    </w:p>
    <w:p w14:paraId="78B50837" w14:textId="5ADAB67A" w:rsidR="003E706A" w:rsidRPr="00D3207A" w:rsidRDefault="003E706A" w:rsidP="005D263F">
      <w:pPr>
        <w:spacing w:after="0"/>
        <w:jc w:val="both"/>
        <w:rPr>
          <w:b/>
          <w:bCs/>
        </w:rPr>
      </w:pPr>
      <w:r w:rsidRPr="00D3207A">
        <w:rPr>
          <w:b/>
          <w:bCs/>
        </w:rPr>
        <w:t xml:space="preserve">Guideline 56 </w:t>
      </w:r>
      <w:r w:rsidR="00FC3F7B">
        <w:rPr>
          <w:b/>
          <w:bCs/>
        </w:rPr>
        <w:t>–</w:t>
      </w:r>
      <w:r w:rsidRPr="00D3207A">
        <w:rPr>
          <w:b/>
          <w:bCs/>
        </w:rPr>
        <w:t xml:space="preserve"> General understanding of the ESG</w:t>
      </w:r>
    </w:p>
    <w:p w14:paraId="7B9CDB17" w14:textId="77777777" w:rsidR="00422259" w:rsidRPr="00D3207A" w:rsidRDefault="00422259" w:rsidP="005D263F">
      <w:pPr>
        <w:spacing w:after="0"/>
        <w:jc w:val="both"/>
      </w:pPr>
    </w:p>
    <w:p w14:paraId="5F8FB8E7" w14:textId="0F524D09" w:rsidR="003E706A" w:rsidRPr="00D3207A" w:rsidRDefault="003E706A" w:rsidP="005D263F">
      <w:pPr>
        <w:pStyle w:val="ListParagraph"/>
        <w:spacing w:after="0"/>
        <w:jc w:val="both"/>
      </w:pPr>
      <w:r w:rsidRPr="00D3207A">
        <w:t>Where the ESG is outsourced, insurance and reinsurance undertakings should ensure that they have an appropriate understanding of the mathematical models on which the ESG is based and of the calibration process, with a particular emphasis on the methods and assumptions used and its limitations and they should be informed of any material changes on an on-going basis.</w:t>
      </w:r>
    </w:p>
    <w:p w14:paraId="62FB927F" w14:textId="77777777" w:rsidR="00961467" w:rsidRPr="00D3207A" w:rsidRDefault="00961467" w:rsidP="005D263F">
      <w:pPr>
        <w:spacing w:after="0"/>
        <w:jc w:val="both"/>
      </w:pPr>
    </w:p>
    <w:p w14:paraId="7550CE26" w14:textId="14C9C179" w:rsidR="003E706A" w:rsidRPr="00D3207A" w:rsidRDefault="003E706A" w:rsidP="005D263F">
      <w:pPr>
        <w:spacing w:after="0"/>
        <w:jc w:val="both"/>
        <w:rPr>
          <w:b/>
          <w:bCs/>
        </w:rPr>
      </w:pPr>
      <w:r w:rsidRPr="00D3207A">
        <w:rPr>
          <w:b/>
          <w:bCs/>
        </w:rPr>
        <w:t>Guideline 57 – Calibration process: market data and choice of the financial instruments</w:t>
      </w:r>
    </w:p>
    <w:p w14:paraId="1B100205" w14:textId="77777777" w:rsidR="00961467" w:rsidRPr="00D3207A" w:rsidRDefault="00961467" w:rsidP="005D263F">
      <w:pPr>
        <w:spacing w:after="0"/>
        <w:jc w:val="both"/>
      </w:pPr>
    </w:p>
    <w:p w14:paraId="072D296C" w14:textId="416906BD" w:rsidR="003E706A" w:rsidRPr="00D3207A" w:rsidRDefault="003E706A" w:rsidP="005D263F">
      <w:pPr>
        <w:pStyle w:val="ListParagraph"/>
        <w:numPr>
          <w:ilvl w:val="0"/>
          <w:numId w:val="66"/>
        </w:numPr>
        <w:spacing w:after="0"/>
        <w:jc w:val="both"/>
      </w:pPr>
      <w:r w:rsidRPr="00D3207A">
        <w:t xml:space="preserve">Insurance and reinsurance undertakings should ensure that the calibration process of an ESG used for a market consistent valuation is based on data from financial markets that are deep, liquid and transparent as defined in Article 1 of </w:t>
      </w:r>
      <w:commentRangeStart w:id="8"/>
      <w:r w:rsidR="003954F5">
        <w:t>the</w:t>
      </w:r>
      <w:r w:rsidRPr="00D3207A">
        <w:t xml:space="preserve"> Delegated Regulation </w:t>
      </w:r>
      <w:commentRangeEnd w:id="8"/>
      <w:r w:rsidR="0028755A">
        <w:rPr>
          <w:rStyle w:val="CommentReference"/>
        </w:rPr>
        <w:commentReference w:id="8"/>
      </w:r>
      <w:r w:rsidRPr="00D3207A">
        <w:t>and that reflect the current market conditions. Where this is not possible, undertakings should</w:t>
      </w:r>
      <w:r w:rsidR="006E03C3" w:rsidRPr="00D3207A">
        <w:t xml:space="preserve"> </w:t>
      </w:r>
      <w:r w:rsidRPr="00D3207A">
        <w:t>use</w:t>
      </w:r>
      <w:r w:rsidR="006E03C3" w:rsidRPr="00D3207A">
        <w:t xml:space="preserve"> </w:t>
      </w:r>
      <w:r w:rsidRPr="00D3207A">
        <w:t>other</w:t>
      </w:r>
      <w:r w:rsidR="006E03C3" w:rsidRPr="00D3207A">
        <w:t xml:space="preserve"> </w:t>
      </w:r>
      <w:r w:rsidRPr="00D3207A">
        <w:t>market</w:t>
      </w:r>
      <w:r w:rsidR="006E03C3" w:rsidRPr="00D3207A">
        <w:t xml:space="preserve"> </w:t>
      </w:r>
      <w:r w:rsidRPr="00D3207A">
        <w:t>prices paying attention to any distortions and ensuring that adjustments to overcome those distortions are made in a deliberate, objective and reliable manner.</w:t>
      </w:r>
    </w:p>
    <w:p w14:paraId="300A6284" w14:textId="77777777" w:rsidR="00961467" w:rsidRPr="00D3207A" w:rsidRDefault="00961467" w:rsidP="005D263F">
      <w:pPr>
        <w:spacing w:after="0"/>
        <w:jc w:val="both"/>
      </w:pPr>
    </w:p>
    <w:p w14:paraId="711815D6" w14:textId="59A42DD9" w:rsidR="003E706A" w:rsidRPr="00D3207A" w:rsidRDefault="003E706A" w:rsidP="005D263F">
      <w:pPr>
        <w:pStyle w:val="ListParagraph"/>
        <w:numPr>
          <w:ilvl w:val="0"/>
          <w:numId w:val="66"/>
        </w:numPr>
        <w:spacing w:after="0"/>
        <w:jc w:val="both"/>
      </w:pPr>
      <w:r w:rsidRPr="00D3207A">
        <w:t>Insurance and reinsurance undertakings should be able to demonstrate that the choice of financial instruments used in the calibration process is relevant given the characteristics of the insurance or reinsurance obligations (e.g. embedded options and financial guarantees).</w:t>
      </w:r>
    </w:p>
    <w:p w14:paraId="2E815439" w14:textId="77777777" w:rsidR="007D5FA5" w:rsidRPr="00D3207A" w:rsidRDefault="007D5FA5" w:rsidP="005D263F">
      <w:pPr>
        <w:spacing w:after="0"/>
        <w:jc w:val="both"/>
      </w:pPr>
    </w:p>
    <w:p w14:paraId="18ED0C97" w14:textId="1092943B" w:rsidR="007D5FA5" w:rsidRPr="00D3207A" w:rsidRDefault="007D5FA5" w:rsidP="005D263F">
      <w:pPr>
        <w:spacing w:after="0"/>
        <w:jc w:val="both"/>
        <w:rPr>
          <w:b/>
          <w:bCs/>
        </w:rPr>
      </w:pPr>
      <w:r w:rsidRPr="00D3207A">
        <w:rPr>
          <w:b/>
          <w:bCs/>
        </w:rPr>
        <w:t>Guideline 57A – Market risk factors needed to deliver appropriate results</w:t>
      </w:r>
    </w:p>
    <w:p w14:paraId="624D4ADD" w14:textId="77777777" w:rsidR="007D5FA5" w:rsidRPr="00D3207A" w:rsidRDefault="007D5FA5" w:rsidP="005D263F">
      <w:pPr>
        <w:spacing w:after="0"/>
        <w:jc w:val="both"/>
      </w:pPr>
    </w:p>
    <w:p w14:paraId="4600FA8E" w14:textId="76D510EB" w:rsidR="007D5FA5" w:rsidRPr="00D3207A" w:rsidRDefault="007D5FA5" w:rsidP="005D263F">
      <w:pPr>
        <w:pStyle w:val="ListParagraph"/>
        <w:numPr>
          <w:ilvl w:val="0"/>
          <w:numId w:val="67"/>
        </w:numPr>
        <w:spacing w:after="0"/>
        <w:jc w:val="both"/>
      </w:pPr>
      <w:r w:rsidRPr="00D3207A">
        <w:t>When assessing whether all the relevant risk factors are modelled with respect to the provisions of Articles 22(3) and 34(5) of the Delegated Regulation, insurance and reinsurance undertakings should be able to demonstrate that their modelling adequately reflects the volatility of their assets and that the material sources of volatility are appropriately reflected (e.g. spreads and default risk).</w:t>
      </w:r>
      <w:r w:rsidRPr="00D3207A">
        <w:cr/>
      </w:r>
    </w:p>
    <w:p w14:paraId="41C630B8" w14:textId="2DEA6427" w:rsidR="007D5FA5" w:rsidRPr="00D3207A" w:rsidRDefault="007D5FA5" w:rsidP="005D263F">
      <w:pPr>
        <w:pStyle w:val="ListParagraph"/>
        <w:numPr>
          <w:ilvl w:val="0"/>
          <w:numId w:val="67"/>
        </w:numPr>
        <w:spacing w:after="0"/>
        <w:jc w:val="both"/>
      </w:pPr>
      <w:r w:rsidRPr="00D3207A">
        <w:lastRenderedPageBreak/>
        <w:t>In particular, insurance and reinsurance undertakings should use models that allow for the modelling of negative interest rates.</w:t>
      </w:r>
    </w:p>
    <w:p w14:paraId="72F2E112" w14:textId="77777777" w:rsidR="00961467" w:rsidRPr="00D3207A" w:rsidRDefault="00961467" w:rsidP="005D263F">
      <w:pPr>
        <w:spacing w:after="0"/>
        <w:jc w:val="both"/>
      </w:pPr>
    </w:p>
    <w:p w14:paraId="440AA66E" w14:textId="1CC20A32" w:rsidR="003E706A" w:rsidRPr="00D3207A" w:rsidRDefault="003E706A" w:rsidP="005D263F">
      <w:pPr>
        <w:spacing w:after="0"/>
        <w:jc w:val="both"/>
        <w:rPr>
          <w:b/>
          <w:bCs/>
        </w:rPr>
      </w:pPr>
      <w:r w:rsidRPr="00D3207A">
        <w:rPr>
          <w:b/>
          <w:bCs/>
        </w:rPr>
        <w:t xml:space="preserve">Guideline 58 </w:t>
      </w:r>
      <w:r w:rsidR="00FC3F7B">
        <w:rPr>
          <w:b/>
          <w:bCs/>
        </w:rPr>
        <w:t>–</w:t>
      </w:r>
      <w:r w:rsidRPr="00D3207A">
        <w:rPr>
          <w:b/>
          <w:bCs/>
        </w:rPr>
        <w:t xml:space="preserve"> Tests (accuracy, robustness and market-consistency)</w:t>
      </w:r>
    </w:p>
    <w:p w14:paraId="3EE0B81D" w14:textId="77777777" w:rsidR="00422259" w:rsidRPr="00D3207A" w:rsidRDefault="00422259" w:rsidP="005D263F">
      <w:pPr>
        <w:spacing w:after="0"/>
        <w:jc w:val="both"/>
        <w:rPr>
          <w:b/>
          <w:bCs/>
        </w:rPr>
      </w:pPr>
    </w:p>
    <w:p w14:paraId="75BA31F9" w14:textId="6C8CF168" w:rsidR="003E706A" w:rsidRPr="00D3207A" w:rsidRDefault="003E706A" w:rsidP="005D263F">
      <w:pPr>
        <w:pStyle w:val="ListParagraph"/>
        <w:numPr>
          <w:ilvl w:val="0"/>
          <w:numId w:val="68"/>
        </w:numPr>
        <w:spacing w:after="0"/>
        <w:jc w:val="both"/>
      </w:pPr>
      <w:r w:rsidRPr="00D3207A">
        <w:t>When insurance or reinsurance undertakings use an ESG for the stochastic modelling of the technical provisions, they should be able to demonstrate to the relevant supervisory authorities the accuracy, robustness and market consistency properties of the ESG. A measure of the accuracy of the ESG (at least a Monte Carlo error analysis) should be assessed.</w:t>
      </w:r>
    </w:p>
    <w:p w14:paraId="17AE77C4" w14:textId="77777777" w:rsidR="00422259" w:rsidRPr="00D3207A" w:rsidRDefault="00422259" w:rsidP="005D263F">
      <w:pPr>
        <w:spacing w:after="0"/>
        <w:jc w:val="both"/>
      </w:pPr>
    </w:p>
    <w:p w14:paraId="204E1175" w14:textId="454CA8B7" w:rsidR="00422259" w:rsidRPr="00D3207A" w:rsidRDefault="003E706A" w:rsidP="005D263F">
      <w:pPr>
        <w:pStyle w:val="ListParagraph"/>
        <w:numPr>
          <w:ilvl w:val="0"/>
          <w:numId w:val="68"/>
        </w:numPr>
        <w:spacing w:after="0"/>
        <w:jc w:val="both"/>
      </w:pPr>
      <w:r w:rsidRPr="00D3207A">
        <w:t>To demonstrate the robustness of the ESG, insurance and reinsurance undertakings should test the sensitivity of the valuation of some typical liabilities to the variation of some parameters in the calibration process.</w:t>
      </w:r>
    </w:p>
    <w:p w14:paraId="73C706F4" w14:textId="77777777" w:rsidR="00422259" w:rsidRPr="00D3207A" w:rsidRDefault="00422259" w:rsidP="005D263F">
      <w:pPr>
        <w:spacing w:after="0"/>
        <w:jc w:val="both"/>
      </w:pPr>
    </w:p>
    <w:p w14:paraId="77DE29A1" w14:textId="0E5B043F" w:rsidR="003E706A" w:rsidRPr="00D3207A" w:rsidRDefault="003E706A" w:rsidP="005D263F">
      <w:pPr>
        <w:pStyle w:val="ListParagraph"/>
        <w:numPr>
          <w:ilvl w:val="0"/>
          <w:numId w:val="68"/>
        </w:numPr>
        <w:spacing w:after="0"/>
        <w:jc w:val="both"/>
      </w:pPr>
      <w:r w:rsidRPr="00D3207A">
        <w:t>To demonstrate the market consistency properties of the ESG, at least some of the following tests should be carried out on the set of scenarios generated by the ESG used for valuation:</w:t>
      </w:r>
    </w:p>
    <w:p w14:paraId="2F3775BE" w14:textId="5FC985A0" w:rsidR="003E706A" w:rsidRPr="00D3207A" w:rsidRDefault="003E706A" w:rsidP="006F32DF">
      <w:pPr>
        <w:pStyle w:val="ListParagraph"/>
        <w:numPr>
          <w:ilvl w:val="1"/>
          <w:numId w:val="68"/>
        </w:numPr>
        <w:spacing w:after="0"/>
        <w:ind w:left="993" w:hanging="284"/>
        <w:jc w:val="both"/>
      </w:pPr>
      <w:r w:rsidRPr="00D3207A">
        <w:t xml:space="preserve">Calibration tests: verify that the requirements set out in Article 22(3) of </w:t>
      </w:r>
      <w:commentRangeStart w:id="9"/>
      <w:r w:rsidR="006F32DF">
        <w:t>the</w:t>
      </w:r>
      <w:r w:rsidRPr="00D3207A">
        <w:t xml:space="preserve"> Delegated Regulation </w:t>
      </w:r>
      <w:commentRangeEnd w:id="9"/>
      <w:r w:rsidR="00D05290">
        <w:rPr>
          <w:rStyle w:val="CommentReference"/>
        </w:rPr>
        <w:commentReference w:id="9"/>
      </w:r>
      <w:r w:rsidRPr="00D3207A">
        <w:t>are met</w:t>
      </w:r>
      <w:r w:rsidR="006F32DF">
        <w:t>;</w:t>
      </w:r>
    </w:p>
    <w:p w14:paraId="08F460F3" w14:textId="18E9C197" w:rsidR="003E706A" w:rsidRPr="00D3207A" w:rsidRDefault="003E706A" w:rsidP="006F32DF">
      <w:pPr>
        <w:pStyle w:val="ListParagraph"/>
        <w:numPr>
          <w:ilvl w:val="1"/>
          <w:numId w:val="68"/>
        </w:numPr>
        <w:spacing w:after="0"/>
        <w:ind w:left="993" w:hanging="284"/>
        <w:jc w:val="both"/>
      </w:pPr>
      <w:r w:rsidRPr="00D3207A">
        <w:t>Martingale tests: verify the Martingale test for the asset classes (equity, bonds, property, exchange rates, etc.) that have been used in the calibration process of the ESG, and for some simple portfolio investment strategies</w:t>
      </w:r>
      <w:r w:rsidR="006F32DF">
        <w:t>;</w:t>
      </w:r>
    </w:p>
    <w:p w14:paraId="5AE331B4" w14:textId="6351FEF5" w:rsidR="003E706A" w:rsidRPr="00D3207A" w:rsidRDefault="005E26D8" w:rsidP="006F32DF">
      <w:pPr>
        <w:spacing w:after="0"/>
        <w:ind w:left="993" w:hanging="284"/>
        <w:jc w:val="both"/>
      </w:pPr>
      <w:r w:rsidRPr="00D3207A">
        <w:t>c)</w:t>
      </w:r>
      <w:r w:rsidRPr="00D3207A">
        <w:tab/>
        <w:t>Correlation tests: comparison of the simulated correlations with the historical correlations.</w:t>
      </w:r>
    </w:p>
    <w:p w14:paraId="3FB3C72D" w14:textId="77777777" w:rsidR="00422259" w:rsidRPr="00D3207A" w:rsidRDefault="00422259" w:rsidP="005D263F">
      <w:pPr>
        <w:spacing w:after="0"/>
        <w:jc w:val="both"/>
      </w:pPr>
    </w:p>
    <w:p w14:paraId="002C416A" w14:textId="17372458" w:rsidR="003E706A" w:rsidRPr="00D3207A" w:rsidRDefault="003E706A" w:rsidP="005D263F">
      <w:pPr>
        <w:pStyle w:val="ListParagraph"/>
        <w:numPr>
          <w:ilvl w:val="0"/>
          <w:numId w:val="68"/>
        </w:numPr>
        <w:spacing w:after="0"/>
        <w:jc w:val="both"/>
      </w:pPr>
      <w:r w:rsidRPr="00D3207A">
        <w:t xml:space="preserve">Insurance and reinsurance undertakings should ensure that the tests of accuracy, robustness and market consistency of the ESG are performed on a regular basis and at least annually. </w:t>
      </w:r>
    </w:p>
    <w:p w14:paraId="0E4CF705" w14:textId="77777777" w:rsidR="00422259" w:rsidRPr="00D3207A" w:rsidRDefault="00422259" w:rsidP="005D263F">
      <w:pPr>
        <w:spacing w:after="0"/>
        <w:jc w:val="both"/>
      </w:pPr>
    </w:p>
    <w:p w14:paraId="00F2F946" w14:textId="39AD387C" w:rsidR="003E706A" w:rsidRPr="00D3207A" w:rsidRDefault="003E706A" w:rsidP="005D263F">
      <w:pPr>
        <w:spacing w:after="0"/>
        <w:jc w:val="both"/>
        <w:rPr>
          <w:b/>
          <w:bCs/>
        </w:rPr>
      </w:pPr>
      <w:r w:rsidRPr="00D3207A">
        <w:rPr>
          <w:b/>
          <w:bCs/>
        </w:rPr>
        <w:t>Guideline 59 – Random and pseudo random number generators</w:t>
      </w:r>
    </w:p>
    <w:p w14:paraId="455CB354" w14:textId="77777777" w:rsidR="00422259" w:rsidRPr="00D3207A" w:rsidRDefault="00422259" w:rsidP="005D263F">
      <w:pPr>
        <w:spacing w:after="0"/>
        <w:jc w:val="both"/>
        <w:rPr>
          <w:b/>
          <w:bCs/>
        </w:rPr>
      </w:pPr>
    </w:p>
    <w:p w14:paraId="5CED7BE9" w14:textId="68A31743" w:rsidR="003E706A" w:rsidRPr="00D3207A" w:rsidRDefault="003E706A" w:rsidP="005D263F">
      <w:pPr>
        <w:pStyle w:val="ListParagraph"/>
        <w:spacing w:after="0"/>
        <w:jc w:val="both"/>
      </w:pPr>
      <w:r w:rsidRPr="00D3207A">
        <w:t>Insurance and reinsurance undertakings should ensure that (pseudo)random number generators used in an ESG are properly tested.</w:t>
      </w:r>
    </w:p>
    <w:p w14:paraId="77151185" w14:textId="77777777" w:rsidR="0052417B" w:rsidRPr="00D3207A" w:rsidRDefault="0052417B" w:rsidP="005D263F">
      <w:pPr>
        <w:spacing w:after="0"/>
        <w:jc w:val="both"/>
        <w:rPr>
          <w:b/>
          <w:bCs/>
        </w:rPr>
      </w:pPr>
    </w:p>
    <w:p w14:paraId="21C7CE5E" w14:textId="3D4C02F0" w:rsidR="003E706A" w:rsidRPr="00D3207A" w:rsidRDefault="003E706A" w:rsidP="005D263F">
      <w:pPr>
        <w:spacing w:after="0"/>
        <w:jc w:val="both"/>
        <w:rPr>
          <w:b/>
          <w:bCs/>
        </w:rPr>
      </w:pPr>
      <w:r w:rsidRPr="00D3207A">
        <w:rPr>
          <w:b/>
          <w:bCs/>
        </w:rPr>
        <w:t xml:space="preserve">Guideline 60 </w:t>
      </w:r>
      <w:r w:rsidR="00FC3F7B">
        <w:rPr>
          <w:b/>
          <w:bCs/>
        </w:rPr>
        <w:t>–</w:t>
      </w:r>
      <w:r w:rsidRPr="00D3207A">
        <w:rPr>
          <w:b/>
          <w:bCs/>
        </w:rPr>
        <w:t xml:space="preserve"> On-going appropriateness of an ESG</w:t>
      </w:r>
    </w:p>
    <w:p w14:paraId="546BC195" w14:textId="77777777" w:rsidR="00422259" w:rsidRPr="00D3207A" w:rsidRDefault="00422259" w:rsidP="005D263F">
      <w:pPr>
        <w:spacing w:after="0"/>
        <w:jc w:val="both"/>
        <w:rPr>
          <w:b/>
          <w:bCs/>
        </w:rPr>
      </w:pPr>
    </w:p>
    <w:p w14:paraId="5EEC4616" w14:textId="2C11684E" w:rsidR="003E706A" w:rsidRPr="00D3207A" w:rsidRDefault="003E706A" w:rsidP="005D263F">
      <w:pPr>
        <w:pStyle w:val="ListParagraph"/>
        <w:spacing w:after="0"/>
        <w:jc w:val="both"/>
      </w:pPr>
      <w:r w:rsidRPr="00D3207A">
        <w:t>Insurance and reinsurance undertakings should have adequate procedures in place to ensure that an ESG remains appropriate for the calculation of the technical provisions on an ongoing basis.</w:t>
      </w:r>
    </w:p>
    <w:p w14:paraId="177D393A" w14:textId="77777777" w:rsidR="00422259" w:rsidRPr="00D3207A" w:rsidRDefault="00422259" w:rsidP="005D263F">
      <w:pPr>
        <w:spacing w:after="0"/>
        <w:jc w:val="both"/>
      </w:pPr>
    </w:p>
    <w:p w14:paraId="2949A045" w14:textId="7A19DBB7" w:rsidR="003E706A" w:rsidRPr="00D3207A" w:rsidRDefault="003E706A" w:rsidP="005D263F">
      <w:pPr>
        <w:spacing w:after="0"/>
        <w:jc w:val="both"/>
        <w:rPr>
          <w:b/>
          <w:bCs/>
        </w:rPr>
      </w:pPr>
      <w:r w:rsidRPr="00D3207A">
        <w:rPr>
          <w:b/>
          <w:bCs/>
        </w:rPr>
        <w:t>Calculation of the risk margin</w:t>
      </w:r>
    </w:p>
    <w:p w14:paraId="4D0F057F" w14:textId="77777777" w:rsidR="00422259" w:rsidRPr="00D3207A" w:rsidRDefault="00422259" w:rsidP="005D263F">
      <w:pPr>
        <w:spacing w:after="0"/>
        <w:jc w:val="both"/>
        <w:rPr>
          <w:b/>
          <w:bCs/>
        </w:rPr>
      </w:pPr>
    </w:p>
    <w:p w14:paraId="08964E96" w14:textId="5452C974" w:rsidR="003E706A" w:rsidRPr="00D3207A" w:rsidRDefault="003E706A" w:rsidP="005D263F">
      <w:pPr>
        <w:spacing w:after="0"/>
        <w:jc w:val="both"/>
        <w:rPr>
          <w:b/>
          <w:bCs/>
        </w:rPr>
      </w:pPr>
      <w:r w:rsidRPr="00D3207A">
        <w:rPr>
          <w:b/>
          <w:bCs/>
        </w:rPr>
        <w:t>Guideline 61 – Methods to calculate the risk margin</w:t>
      </w:r>
    </w:p>
    <w:p w14:paraId="07074BB3" w14:textId="77777777" w:rsidR="00422259" w:rsidRPr="00D3207A" w:rsidRDefault="00422259" w:rsidP="005D263F">
      <w:pPr>
        <w:spacing w:after="0"/>
        <w:jc w:val="both"/>
        <w:rPr>
          <w:b/>
          <w:bCs/>
        </w:rPr>
      </w:pPr>
    </w:p>
    <w:p w14:paraId="765677D1" w14:textId="63030E67" w:rsidR="003E706A" w:rsidRPr="00D3207A" w:rsidRDefault="003E706A" w:rsidP="005D263F">
      <w:pPr>
        <w:pStyle w:val="ListParagraph"/>
        <w:numPr>
          <w:ilvl w:val="0"/>
          <w:numId w:val="71"/>
        </w:numPr>
        <w:spacing w:after="0"/>
        <w:jc w:val="both"/>
      </w:pPr>
      <w:r w:rsidRPr="00D3207A">
        <w:t xml:space="preserve">Insurance and reinsurance undertakings should assess whether a full projection of all future Solvency Capital Requirements is necessary in order to reflect the nature, scale </w:t>
      </w:r>
      <w:r w:rsidRPr="00D3207A">
        <w:lastRenderedPageBreak/>
        <w:t>and complexity of the risks underlying the reference undertaking's insurance and reinsurance obligations in a proportionate manner. In such case, undertakings should carry out these calculations. Otherwise,</w:t>
      </w:r>
      <w:r w:rsidR="006E03C3" w:rsidRPr="00D3207A">
        <w:t xml:space="preserve"> </w:t>
      </w:r>
      <w:r w:rsidRPr="00D3207A">
        <w:t>alternative methods may be used to calculate the risk margin, ensuring that the method chosen is adequate to capture the risk profile of the undertaking.</w:t>
      </w:r>
    </w:p>
    <w:p w14:paraId="3A8DA14A" w14:textId="77777777" w:rsidR="00422259" w:rsidRPr="00D3207A" w:rsidRDefault="00422259" w:rsidP="005D263F">
      <w:pPr>
        <w:spacing w:after="0"/>
        <w:jc w:val="both"/>
      </w:pPr>
    </w:p>
    <w:p w14:paraId="52C2A177" w14:textId="5AB48CD4" w:rsidR="003E706A" w:rsidRPr="00D3207A" w:rsidRDefault="003E706A" w:rsidP="005D263F">
      <w:pPr>
        <w:pStyle w:val="ListParagraph"/>
        <w:numPr>
          <w:ilvl w:val="0"/>
          <w:numId w:val="71"/>
        </w:numPr>
        <w:spacing w:after="0"/>
        <w:jc w:val="both"/>
      </w:pPr>
      <w:r w:rsidRPr="00D3207A">
        <w:t>Where</w:t>
      </w:r>
      <w:r w:rsidR="006E03C3" w:rsidRPr="00D3207A">
        <w:t xml:space="preserve"> </w:t>
      </w:r>
      <w:r w:rsidRPr="00D3207A">
        <w:t>simplified</w:t>
      </w:r>
      <w:r w:rsidR="006E03C3" w:rsidRPr="00D3207A">
        <w:t xml:space="preserve"> </w:t>
      </w:r>
      <w:r w:rsidRPr="00D3207A">
        <w:t>methodologies</w:t>
      </w:r>
      <w:r w:rsidR="006E03C3" w:rsidRPr="00D3207A">
        <w:t xml:space="preserve"> </w:t>
      </w:r>
      <w:r w:rsidRPr="00D3207A">
        <w:t>are</w:t>
      </w:r>
      <w:r w:rsidR="006E03C3" w:rsidRPr="00D3207A">
        <w:t xml:space="preserve"> </w:t>
      </w:r>
      <w:r w:rsidRPr="00D3207A">
        <w:t>used</w:t>
      </w:r>
      <w:r w:rsidR="006E03C3" w:rsidRPr="00D3207A">
        <w:t xml:space="preserve"> </w:t>
      </w:r>
      <w:r w:rsidRPr="00D3207A">
        <w:t>to</w:t>
      </w:r>
      <w:r w:rsidR="006E03C3" w:rsidRPr="00D3207A">
        <w:t xml:space="preserve"> </w:t>
      </w:r>
      <w:r w:rsidRPr="00D3207A">
        <w:t>calculate</w:t>
      </w:r>
      <w:r w:rsidR="006E03C3" w:rsidRPr="00D3207A">
        <w:t xml:space="preserve"> </w:t>
      </w:r>
      <w:r w:rsidRPr="00D3207A">
        <w:t>the</w:t>
      </w:r>
      <w:r w:rsidR="006E03C3" w:rsidRPr="00D3207A">
        <w:t xml:space="preserve"> </w:t>
      </w:r>
      <w:r w:rsidRPr="00D3207A">
        <w:t>best</w:t>
      </w:r>
      <w:r w:rsidR="006E03C3" w:rsidRPr="00D3207A">
        <w:t xml:space="preserve"> </w:t>
      </w:r>
      <w:r w:rsidRPr="00D3207A">
        <w:t>estimate,</w:t>
      </w:r>
      <w:r w:rsidR="006E03C3" w:rsidRPr="00D3207A">
        <w:t xml:space="preserve"> </w:t>
      </w:r>
      <w:r w:rsidRPr="00D3207A">
        <w:t>insurance and reinsurance undertakings should assess the consequent impact that the use of such methodologies may have on the methods available to calculate the risk margin, including the use of any simplified methods for projecting the future SCRs.</w:t>
      </w:r>
    </w:p>
    <w:p w14:paraId="41CA3C0D" w14:textId="77777777" w:rsidR="00422259" w:rsidRPr="00D3207A" w:rsidRDefault="00422259" w:rsidP="005D263F">
      <w:pPr>
        <w:spacing w:after="0"/>
        <w:jc w:val="both"/>
      </w:pPr>
    </w:p>
    <w:p w14:paraId="0FB93D02" w14:textId="066E8A08" w:rsidR="003E706A" w:rsidRPr="00D3207A" w:rsidRDefault="003E706A" w:rsidP="005D263F">
      <w:pPr>
        <w:spacing w:after="0"/>
        <w:jc w:val="both"/>
        <w:rPr>
          <w:b/>
          <w:bCs/>
        </w:rPr>
      </w:pPr>
      <w:r w:rsidRPr="00D3207A">
        <w:rPr>
          <w:b/>
          <w:bCs/>
        </w:rPr>
        <w:t>Guideline 62 – Hierarchy of methods for the calculation of the risk margin</w:t>
      </w:r>
    </w:p>
    <w:p w14:paraId="59B1F713" w14:textId="77777777" w:rsidR="00422259" w:rsidRPr="00D3207A" w:rsidRDefault="00422259" w:rsidP="005D263F">
      <w:pPr>
        <w:spacing w:after="0"/>
        <w:jc w:val="both"/>
        <w:rPr>
          <w:b/>
          <w:bCs/>
        </w:rPr>
      </w:pPr>
    </w:p>
    <w:p w14:paraId="58AFCA44" w14:textId="5B8B8C16" w:rsidR="003E706A" w:rsidRPr="00D3207A" w:rsidRDefault="003E706A" w:rsidP="005D263F">
      <w:pPr>
        <w:pStyle w:val="ListParagraph"/>
        <w:numPr>
          <w:ilvl w:val="0"/>
          <w:numId w:val="72"/>
        </w:numPr>
        <w:spacing w:after="0"/>
        <w:jc w:val="both"/>
      </w:pPr>
      <w:r w:rsidRPr="00D3207A">
        <w:t>When deciding which level of the hierarchy set out below is most appropriate,</w:t>
      </w:r>
      <w:r w:rsidR="006F32DF">
        <w:t xml:space="preserve"> </w:t>
      </w:r>
      <w:r w:rsidRPr="00D3207A">
        <w:t>insurance and reinsurance undertakings should ensure that the complexity of the calculations does not go beyond what is necessary in order to reflect the nature, scale and complexity of the risks underlying the reference undertaking's insurance and reinsurance obligations in a proportionate manner.</w:t>
      </w:r>
    </w:p>
    <w:p w14:paraId="30A61BC4" w14:textId="77777777" w:rsidR="00422259" w:rsidRPr="00D3207A" w:rsidRDefault="00422259" w:rsidP="005D263F">
      <w:pPr>
        <w:spacing w:after="0"/>
        <w:jc w:val="both"/>
      </w:pPr>
    </w:p>
    <w:p w14:paraId="1E3538CB" w14:textId="28462D2D" w:rsidR="003E706A" w:rsidRPr="00D3207A" w:rsidRDefault="003E706A" w:rsidP="005D263F">
      <w:pPr>
        <w:pStyle w:val="ListParagraph"/>
        <w:numPr>
          <w:ilvl w:val="0"/>
          <w:numId w:val="72"/>
        </w:numPr>
        <w:spacing w:after="0"/>
        <w:jc w:val="both"/>
      </w:pPr>
      <w:r w:rsidRPr="00D3207A">
        <w:t>Undertakings should apply the hierarchy of methods consistently with the framework set out when defining the proportionality principle and the necessity of assessing risks properly.</w:t>
      </w:r>
    </w:p>
    <w:p w14:paraId="2520C703" w14:textId="77777777" w:rsidR="00303C9B" w:rsidRPr="00D3207A" w:rsidRDefault="00303C9B" w:rsidP="005D263F">
      <w:pPr>
        <w:spacing w:after="0"/>
        <w:jc w:val="both"/>
      </w:pPr>
    </w:p>
    <w:p w14:paraId="4146758B" w14:textId="650BB9A2" w:rsidR="003E706A" w:rsidRPr="00D3207A" w:rsidRDefault="003E706A" w:rsidP="005D263F">
      <w:pPr>
        <w:pStyle w:val="ListParagraph"/>
        <w:numPr>
          <w:ilvl w:val="0"/>
          <w:numId w:val="72"/>
        </w:numPr>
        <w:spacing w:after="0"/>
        <w:jc w:val="both"/>
      </w:pPr>
      <w:r w:rsidRPr="00D3207A">
        <w:t>Insurance and reinsurance undertakings should use the following hierarchy as a decision making basis regarding the methods to be used for projecting future Solvency Capital Requirements:</w:t>
      </w:r>
    </w:p>
    <w:p w14:paraId="7F49F7AD" w14:textId="77777777" w:rsidR="00AB00B3" w:rsidRPr="00D3207A" w:rsidRDefault="00AB00B3" w:rsidP="005D263F">
      <w:pPr>
        <w:pStyle w:val="ListParagraph"/>
        <w:spacing w:after="0"/>
      </w:pPr>
    </w:p>
    <w:p w14:paraId="76A9A598" w14:textId="4103375C" w:rsidR="003E706A" w:rsidRPr="00D3207A" w:rsidRDefault="003E706A" w:rsidP="005D263F">
      <w:pPr>
        <w:pStyle w:val="ListParagraph"/>
        <w:numPr>
          <w:ilvl w:val="2"/>
          <w:numId w:val="106"/>
        </w:numPr>
        <w:spacing w:after="0"/>
        <w:ind w:left="993" w:hanging="142"/>
        <w:jc w:val="both"/>
      </w:pPr>
      <w:r w:rsidRPr="00D3207A">
        <w:rPr>
          <w:b/>
          <w:bCs/>
        </w:rPr>
        <w:t xml:space="preserve">Method 1) </w:t>
      </w:r>
      <w:r w:rsidRPr="00D3207A">
        <w:t xml:space="preserve">To approximate the individual risks or sub-risks within some or all modules and sub-modules to be used for the calculation of future Solvency Capital Requirements as referred to in Article 58(a) of </w:t>
      </w:r>
      <w:commentRangeStart w:id="10"/>
      <w:r w:rsidR="006F32DF">
        <w:t>the</w:t>
      </w:r>
      <w:r w:rsidRPr="00D3207A">
        <w:t xml:space="preserve"> Delegated Regulation</w:t>
      </w:r>
      <w:commentRangeEnd w:id="10"/>
      <w:r w:rsidR="00D05290">
        <w:rPr>
          <w:rStyle w:val="CommentReference"/>
        </w:rPr>
        <w:commentReference w:id="10"/>
      </w:r>
      <w:r w:rsidRPr="00D3207A">
        <w:t>.</w:t>
      </w:r>
    </w:p>
    <w:p w14:paraId="148D07C8" w14:textId="77777777" w:rsidR="00303C9B" w:rsidRPr="00D3207A" w:rsidRDefault="00303C9B" w:rsidP="005D263F">
      <w:pPr>
        <w:spacing w:after="0"/>
        <w:jc w:val="both"/>
      </w:pPr>
    </w:p>
    <w:p w14:paraId="555BE0AA" w14:textId="786D0C66" w:rsidR="00303C9B" w:rsidRPr="00D3207A" w:rsidRDefault="003E706A" w:rsidP="005D263F">
      <w:pPr>
        <w:pStyle w:val="ListParagraph"/>
        <w:numPr>
          <w:ilvl w:val="2"/>
          <w:numId w:val="107"/>
        </w:numPr>
        <w:spacing w:after="0"/>
        <w:ind w:left="993" w:hanging="142"/>
        <w:jc w:val="both"/>
      </w:pPr>
      <w:r w:rsidRPr="00D3207A">
        <w:rPr>
          <w:b/>
          <w:bCs/>
        </w:rPr>
        <w:t xml:space="preserve">Method 2) </w:t>
      </w:r>
      <w:r w:rsidRPr="00D3207A">
        <w:t>To approximate the whole Solvency Capital Requirement for each future year as referred in Article 58(a)</w:t>
      </w:r>
      <w:r w:rsidR="00FC3F7B">
        <w:t xml:space="preserve"> </w:t>
      </w:r>
      <w:r w:rsidRPr="00D3207A">
        <w:t xml:space="preserve">of </w:t>
      </w:r>
      <w:r w:rsidR="006F32DF">
        <w:t>the</w:t>
      </w:r>
      <w:r w:rsidRPr="00D3207A">
        <w:t xml:space="preserve"> </w:t>
      </w:r>
      <w:commentRangeStart w:id="11"/>
      <w:r w:rsidRPr="00D3207A">
        <w:t>Delegated Regulation</w:t>
      </w:r>
      <w:commentRangeEnd w:id="11"/>
      <w:r w:rsidR="00D05290">
        <w:rPr>
          <w:rStyle w:val="CommentReference"/>
        </w:rPr>
        <w:commentReference w:id="11"/>
      </w:r>
      <w:r w:rsidRPr="00D3207A">
        <w:t>, inter alia by using the ratio of the best estimate at that future year to the best estimate at the valuation date.</w:t>
      </w:r>
    </w:p>
    <w:p w14:paraId="550C63EE" w14:textId="1FF16140" w:rsidR="003E706A" w:rsidRPr="00D3207A" w:rsidRDefault="003E706A" w:rsidP="005D263F">
      <w:pPr>
        <w:spacing w:after="0"/>
        <w:ind w:left="993"/>
        <w:jc w:val="both"/>
      </w:pPr>
      <w:r w:rsidRPr="00D3207A">
        <w:t>This method is not appropriate when negative best estimate values exist at valuation date or subsequent dates. This method takes into account the maturity and the run-off pattern of the obligations net of reinsurance. Consequently, some considerations should be given regarding the manner in which the best estimate of technical provisions net of reinsurance has been calculated. Further consideration should be given as well as to whether the assumptions regarding the risk profile</w:t>
      </w:r>
      <w:r w:rsidR="006E03C3" w:rsidRPr="00D3207A">
        <w:t xml:space="preserve"> </w:t>
      </w:r>
      <w:r w:rsidRPr="00D3207A">
        <w:t>of</w:t>
      </w:r>
      <w:r w:rsidR="006E03C3" w:rsidRPr="00D3207A">
        <w:t xml:space="preserve"> </w:t>
      </w:r>
      <w:r w:rsidRPr="00D3207A">
        <w:t>the</w:t>
      </w:r>
      <w:r w:rsidR="006E03C3" w:rsidRPr="00D3207A">
        <w:t xml:space="preserve"> </w:t>
      </w:r>
      <w:r w:rsidRPr="00D3207A">
        <w:t>undertaking</w:t>
      </w:r>
      <w:r w:rsidR="006E03C3" w:rsidRPr="00D3207A">
        <w:t xml:space="preserve"> </w:t>
      </w:r>
      <w:r w:rsidRPr="00D3207A">
        <w:t>can</w:t>
      </w:r>
      <w:r w:rsidR="006E03C3" w:rsidRPr="00D3207A">
        <w:t xml:space="preserve"> </w:t>
      </w:r>
      <w:r w:rsidRPr="00D3207A">
        <w:t>be</w:t>
      </w:r>
      <w:r w:rsidR="006E03C3" w:rsidRPr="00D3207A">
        <w:t xml:space="preserve"> </w:t>
      </w:r>
      <w:r w:rsidRPr="00D3207A">
        <w:t>considered</w:t>
      </w:r>
      <w:r w:rsidR="006E03C3" w:rsidRPr="00D3207A">
        <w:t xml:space="preserve"> </w:t>
      </w:r>
      <w:r w:rsidRPr="00D3207A">
        <w:t>unchanged</w:t>
      </w:r>
      <w:r w:rsidR="006E03C3" w:rsidRPr="00D3207A">
        <w:t xml:space="preserve"> </w:t>
      </w:r>
      <w:r w:rsidRPr="00D3207A">
        <w:t>over</w:t>
      </w:r>
      <w:r w:rsidR="006E03C3" w:rsidRPr="00D3207A">
        <w:t xml:space="preserve"> </w:t>
      </w:r>
      <w:r w:rsidRPr="00D3207A">
        <w:t xml:space="preserve">time. </w:t>
      </w:r>
    </w:p>
    <w:p w14:paraId="05A08714" w14:textId="77777777" w:rsidR="006F32DF" w:rsidRDefault="006F32DF" w:rsidP="005D263F">
      <w:pPr>
        <w:spacing w:after="0"/>
        <w:ind w:left="993"/>
        <w:jc w:val="both"/>
      </w:pPr>
    </w:p>
    <w:p w14:paraId="57627C33" w14:textId="184E0EF5" w:rsidR="003E706A" w:rsidRPr="00D3207A" w:rsidRDefault="003E706A" w:rsidP="005D263F">
      <w:pPr>
        <w:spacing w:after="0"/>
        <w:ind w:left="993"/>
        <w:jc w:val="both"/>
      </w:pPr>
      <w:r w:rsidRPr="00D3207A">
        <w:t>This includes:</w:t>
      </w:r>
    </w:p>
    <w:p w14:paraId="51EF2C05" w14:textId="2AD0252C" w:rsidR="003E706A" w:rsidRPr="00D3207A" w:rsidRDefault="003E706A" w:rsidP="006F32DF">
      <w:pPr>
        <w:spacing w:after="0"/>
        <w:ind w:left="1276" w:hanging="283"/>
        <w:jc w:val="both"/>
      </w:pPr>
      <w:r w:rsidRPr="00D3207A">
        <w:t>a)</w:t>
      </w:r>
      <w:r w:rsidRPr="00D3207A">
        <w:tab/>
      </w:r>
      <w:r w:rsidR="00FC3F7B">
        <w:t>f</w:t>
      </w:r>
      <w:r w:rsidRPr="00D3207A">
        <w:t>or</w:t>
      </w:r>
      <w:r w:rsidR="006E03C3" w:rsidRPr="00D3207A">
        <w:t xml:space="preserve"> </w:t>
      </w:r>
      <w:r w:rsidRPr="00D3207A">
        <w:t>all</w:t>
      </w:r>
      <w:r w:rsidR="006E03C3" w:rsidRPr="00D3207A">
        <w:t xml:space="preserve"> </w:t>
      </w:r>
      <w:r w:rsidRPr="00D3207A">
        <w:t>underwriting risks,</w:t>
      </w:r>
      <w:r w:rsidR="006E03C3" w:rsidRPr="00D3207A">
        <w:t xml:space="preserve"> </w:t>
      </w:r>
      <w:r w:rsidRPr="00D3207A">
        <w:t>to consider if the composition of the risks in underwriting risk is the same</w:t>
      </w:r>
      <w:r w:rsidR="006F32DF">
        <w:t>;</w:t>
      </w:r>
    </w:p>
    <w:p w14:paraId="2F03EBDC" w14:textId="37113237" w:rsidR="003E706A" w:rsidRPr="00D3207A" w:rsidRDefault="003E706A" w:rsidP="006F32DF">
      <w:pPr>
        <w:spacing w:after="0"/>
        <w:ind w:left="1276" w:hanging="283"/>
        <w:jc w:val="both"/>
      </w:pPr>
      <w:r w:rsidRPr="00D3207A">
        <w:t>b)</w:t>
      </w:r>
      <w:r w:rsidRPr="00D3207A">
        <w:tab/>
      </w:r>
      <w:r w:rsidR="00FC3F7B">
        <w:t>f</w:t>
      </w:r>
      <w:r w:rsidRPr="00D3207A">
        <w:t>or counterparty default risk, to consider if the average credit standing of reinsurers and special purpose vehicles is the same</w:t>
      </w:r>
      <w:r w:rsidR="006F32DF">
        <w:t>;</w:t>
      </w:r>
    </w:p>
    <w:p w14:paraId="6BE5F4D2" w14:textId="4D06655A" w:rsidR="003E706A" w:rsidRPr="00D3207A" w:rsidRDefault="003E706A" w:rsidP="006F32DF">
      <w:pPr>
        <w:spacing w:after="0"/>
        <w:ind w:left="1276" w:hanging="283"/>
        <w:jc w:val="both"/>
      </w:pPr>
      <w:r w:rsidRPr="00D3207A">
        <w:lastRenderedPageBreak/>
        <w:t>c)</w:t>
      </w:r>
      <w:r w:rsidRPr="00D3207A">
        <w:tab/>
        <w:t xml:space="preserve"> </w:t>
      </w:r>
      <w:r w:rsidR="00FC3F7B">
        <w:t>f</w:t>
      </w:r>
      <w:r w:rsidRPr="00D3207A">
        <w:t>or market risk, to consider if the material market risk in relation to the net best estimate is the same</w:t>
      </w:r>
      <w:r w:rsidR="006F32DF">
        <w:t>;</w:t>
      </w:r>
      <w:r w:rsidRPr="00D3207A">
        <w:t xml:space="preserve"> </w:t>
      </w:r>
    </w:p>
    <w:p w14:paraId="18895068" w14:textId="6B62F50D" w:rsidR="003E706A" w:rsidRPr="00D3207A" w:rsidRDefault="003E706A" w:rsidP="006F32DF">
      <w:pPr>
        <w:spacing w:after="0"/>
        <w:ind w:left="1276" w:hanging="283"/>
        <w:jc w:val="both"/>
      </w:pPr>
      <w:r w:rsidRPr="00D3207A">
        <w:t>d)</w:t>
      </w:r>
      <w:r w:rsidRPr="00D3207A">
        <w:tab/>
      </w:r>
      <w:r w:rsidR="00FC3F7B">
        <w:t>f</w:t>
      </w:r>
      <w:r w:rsidRPr="00D3207A">
        <w:t>or</w:t>
      </w:r>
      <w:r w:rsidR="006E03C3" w:rsidRPr="00D3207A">
        <w:t xml:space="preserve"> </w:t>
      </w:r>
      <w:r w:rsidRPr="00D3207A">
        <w:t>operational</w:t>
      </w:r>
      <w:r w:rsidR="006E03C3" w:rsidRPr="00D3207A">
        <w:t xml:space="preserve"> </w:t>
      </w:r>
      <w:r w:rsidRPr="00D3207A">
        <w:t>risk,</w:t>
      </w:r>
      <w:r w:rsidR="006E03C3" w:rsidRPr="00D3207A">
        <w:t xml:space="preserve"> </w:t>
      </w:r>
      <w:r w:rsidRPr="00D3207A">
        <w:t>to</w:t>
      </w:r>
      <w:r w:rsidR="006E03C3" w:rsidRPr="00D3207A">
        <w:t xml:space="preserve"> </w:t>
      </w:r>
      <w:r w:rsidRPr="00D3207A">
        <w:t>consider</w:t>
      </w:r>
      <w:r w:rsidR="006E03C3" w:rsidRPr="00D3207A">
        <w:t xml:space="preserve"> </w:t>
      </w:r>
      <w:r w:rsidRPr="00D3207A">
        <w:t>if</w:t>
      </w:r>
      <w:r w:rsidR="006E03C3" w:rsidRPr="00D3207A">
        <w:t xml:space="preserve"> </w:t>
      </w:r>
      <w:r w:rsidRPr="00D3207A">
        <w:t>the</w:t>
      </w:r>
      <w:r w:rsidR="006E03C3" w:rsidRPr="00D3207A">
        <w:t xml:space="preserve"> </w:t>
      </w:r>
      <w:r w:rsidRPr="00D3207A">
        <w:t>proportion</w:t>
      </w:r>
      <w:r w:rsidR="006E03C3" w:rsidRPr="00D3207A">
        <w:t xml:space="preserve"> </w:t>
      </w:r>
      <w:r w:rsidRPr="00D3207A">
        <w:t>of</w:t>
      </w:r>
      <w:r w:rsidR="006E03C3" w:rsidRPr="00D3207A">
        <w:t xml:space="preserve"> </w:t>
      </w:r>
      <w:r w:rsidRPr="00D3207A">
        <w:t>reinsurers'</w:t>
      </w:r>
      <w:r w:rsidR="006E03C3" w:rsidRPr="00D3207A">
        <w:t xml:space="preserve"> </w:t>
      </w:r>
      <w:r w:rsidRPr="00D3207A">
        <w:t>and special purpose vehicles share of the obligations is the same</w:t>
      </w:r>
      <w:r w:rsidR="006F32DF">
        <w:t>;</w:t>
      </w:r>
    </w:p>
    <w:p w14:paraId="7F8B172C" w14:textId="4D8BB168" w:rsidR="003E706A" w:rsidRPr="00D3207A" w:rsidRDefault="003E706A" w:rsidP="006F32DF">
      <w:pPr>
        <w:spacing w:after="0"/>
        <w:ind w:left="1276" w:hanging="283"/>
        <w:jc w:val="both"/>
      </w:pPr>
      <w:r w:rsidRPr="00D3207A">
        <w:t>e)</w:t>
      </w:r>
      <w:r w:rsidRPr="00D3207A">
        <w:tab/>
      </w:r>
      <w:r w:rsidR="00FC3F7B">
        <w:t>f</w:t>
      </w:r>
      <w:r w:rsidRPr="00D3207A">
        <w:t>or adjustment, to consider if the loss absorbing capacity of the technical provisions in relation to the net best estimate is the same.</w:t>
      </w:r>
    </w:p>
    <w:p w14:paraId="7E98CB57" w14:textId="77777777" w:rsidR="006F32DF" w:rsidRDefault="006F32DF" w:rsidP="005D263F">
      <w:pPr>
        <w:spacing w:after="0"/>
        <w:ind w:left="993"/>
        <w:jc w:val="both"/>
      </w:pPr>
    </w:p>
    <w:p w14:paraId="53B88C95" w14:textId="4BB1C9D5" w:rsidR="003E706A" w:rsidRPr="00D3207A" w:rsidRDefault="003E706A" w:rsidP="005D263F">
      <w:pPr>
        <w:spacing w:after="0"/>
        <w:ind w:left="993"/>
        <w:jc w:val="both"/>
      </w:pPr>
      <w:r w:rsidRPr="00D3207A">
        <w:t>If some or all of these assumptions do not hold, the undertaking should carry out at least a qualitative assessment of how material the deviation from the assumptions is. If the impact of the deviation is not material compared to the risk margin as a whole, then this method can be used. Otherwise the undertaking should either adjust the formula appropriately or be encouraged to use a more sophisticated method.</w:t>
      </w:r>
    </w:p>
    <w:p w14:paraId="1F35BD80" w14:textId="77777777" w:rsidR="00303C9B" w:rsidRPr="00D3207A" w:rsidRDefault="00303C9B" w:rsidP="005D263F">
      <w:pPr>
        <w:spacing w:after="0"/>
        <w:jc w:val="both"/>
      </w:pPr>
    </w:p>
    <w:p w14:paraId="1815D2AA" w14:textId="18FC6167" w:rsidR="00303C9B" w:rsidRPr="00FC3F7B" w:rsidRDefault="003E706A" w:rsidP="00FC3F7B">
      <w:pPr>
        <w:pStyle w:val="ListParagraph"/>
        <w:numPr>
          <w:ilvl w:val="2"/>
          <w:numId w:val="106"/>
        </w:numPr>
        <w:spacing w:after="0"/>
        <w:ind w:left="993" w:hanging="142"/>
        <w:jc w:val="both"/>
      </w:pPr>
      <w:r w:rsidRPr="00D3207A">
        <w:rPr>
          <w:b/>
          <w:bCs/>
        </w:rPr>
        <w:t xml:space="preserve">Method 3) </w:t>
      </w:r>
      <w:r w:rsidRPr="00FC3F7B">
        <w:t>To approximate the discounted sum of all future Solvency Capital Requirements in a single step without approximating the Solvency Capital Requirements for each future year separately as referred in Article</w:t>
      </w:r>
      <w:r w:rsidR="006F32DF" w:rsidRPr="00FC3F7B">
        <w:t xml:space="preserve"> </w:t>
      </w:r>
      <w:r w:rsidRPr="00FC3F7B">
        <w:t xml:space="preserve">58(b) of </w:t>
      </w:r>
      <w:r w:rsidR="006F32DF" w:rsidRPr="00FC3F7B">
        <w:t>the</w:t>
      </w:r>
      <w:r w:rsidRPr="00FC3F7B">
        <w:t xml:space="preserve"> </w:t>
      </w:r>
      <w:commentRangeStart w:id="12"/>
      <w:r w:rsidRPr="00FC3F7B">
        <w:t>Delegated Regulation</w:t>
      </w:r>
      <w:commentRangeEnd w:id="12"/>
      <w:r w:rsidR="00D05290">
        <w:rPr>
          <w:rStyle w:val="CommentReference"/>
        </w:rPr>
        <w:commentReference w:id="12"/>
      </w:r>
      <w:r w:rsidRPr="00FC3F7B">
        <w:t>, inter alia by using the modified duration of the insurance liabilities as a proportionality factor.</w:t>
      </w:r>
    </w:p>
    <w:p w14:paraId="4F64C708" w14:textId="3F746FC4" w:rsidR="003E706A" w:rsidRPr="00D3207A" w:rsidRDefault="003E706A" w:rsidP="005D263F">
      <w:pPr>
        <w:spacing w:after="0"/>
        <w:ind w:left="993"/>
        <w:jc w:val="both"/>
      </w:pPr>
      <w:r w:rsidRPr="00D3207A">
        <w:t>When deciding on the application of a method based on the modified duration of the insurance liabilities, attention should be paid to the value of modified duration to avoid meaningless results for the Risk Margin.</w:t>
      </w:r>
    </w:p>
    <w:p w14:paraId="59EB1220" w14:textId="551FCBDA" w:rsidR="003E706A" w:rsidRPr="00D3207A" w:rsidRDefault="003E706A" w:rsidP="005D263F">
      <w:pPr>
        <w:spacing w:after="0"/>
        <w:ind w:left="993"/>
        <w:jc w:val="both"/>
      </w:pPr>
      <w:r w:rsidRPr="00D3207A">
        <w:t>This method takes into account the maturity and the run-off pattern of the obligations net of reinsurance. Consequently, some considerations should be given regarding the manner in which the best estimate of technical provisions net of reinsurance has been calculated. Further consideration should be given as to whether the assumptions regarding the risk profile of the undertaking can be considered unchanged</w:t>
      </w:r>
      <w:r w:rsidR="006E03C3" w:rsidRPr="00D3207A">
        <w:t xml:space="preserve"> </w:t>
      </w:r>
      <w:r w:rsidRPr="00D3207A">
        <w:t>over</w:t>
      </w:r>
      <w:r w:rsidR="006E03C3" w:rsidRPr="00D3207A">
        <w:t xml:space="preserve"> </w:t>
      </w:r>
      <w:r w:rsidRPr="00D3207A">
        <w:t xml:space="preserve">time. </w:t>
      </w:r>
    </w:p>
    <w:p w14:paraId="6E22FA12" w14:textId="77777777" w:rsidR="006F32DF" w:rsidRDefault="006F32DF" w:rsidP="005D263F">
      <w:pPr>
        <w:spacing w:after="0"/>
        <w:ind w:left="993"/>
        <w:jc w:val="both"/>
      </w:pPr>
    </w:p>
    <w:p w14:paraId="2A233DDA" w14:textId="74BF68C3" w:rsidR="003E706A" w:rsidRPr="00D3207A" w:rsidRDefault="003E706A" w:rsidP="005D263F">
      <w:pPr>
        <w:spacing w:after="0"/>
        <w:ind w:left="993"/>
        <w:jc w:val="both"/>
      </w:pPr>
      <w:r w:rsidRPr="00D3207A">
        <w:t>This includes:</w:t>
      </w:r>
    </w:p>
    <w:p w14:paraId="524347DB" w14:textId="42B82891" w:rsidR="003E706A" w:rsidRPr="00D3207A" w:rsidRDefault="003E706A" w:rsidP="005D263F">
      <w:pPr>
        <w:spacing w:after="0"/>
        <w:ind w:left="1418" w:hanging="425"/>
        <w:jc w:val="both"/>
      </w:pPr>
      <w:r w:rsidRPr="00D3207A">
        <w:t>a)</w:t>
      </w:r>
      <w:r w:rsidRPr="00D3207A">
        <w:tab/>
      </w:r>
      <w:r w:rsidR="00FC3F7B">
        <w:t>f</w:t>
      </w:r>
      <w:r w:rsidRPr="00D3207A">
        <w:t>or basic SCR, to consider if the composition and the proportions of the risks do not change over the years</w:t>
      </w:r>
      <w:r w:rsidR="00690DB1">
        <w:t>;</w:t>
      </w:r>
    </w:p>
    <w:p w14:paraId="2C3678AC" w14:textId="1878B610" w:rsidR="003E706A" w:rsidRPr="00D3207A" w:rsidRDefault="003E706A" w:rsidP="005D263F">
      <w:pPr>
        <w:spacing w:after="0"/>
        <w:ind w:left="1418" w:hanging="425"/>
        <w:jc w:val="both"/>
      </w:pPr>
      <w:r w:rsidRPr="00D3207A">
        <w:t>b)</w:t>
      </w:r>
      <w:r w:rsidRPr="00D3207A">
        <w:tab/>
      </w:r>
      <w:r w:rsidR="00FC3F7B">
        <w:t>f</w:t>
      </w:r>
      <w:r w:rsidRPr="00D3207A">
        <w:t>or</w:t>
      </w:r>
      <w:r w:rsidR="006E03C3" w:rsidRPr="00D3207A">
        <w:t xml:space="preserve"> </w:t>
      </w:r>
      <w:r w:rsidRPr="00D3207A">
        <w:t>counterparty default</w:t>
      </w:r>
      <w:r w:rsidR="006E03C3" w:rsidRPr="00D3207A">
        <w:t xml:space="preserve"> </w:t>
      </w:r>
      <w:r w:rsidRPr="00D3207A">
        <w:t>risk,</w:t>
      </w:r>
      <w:r w:rsidR="006E03C3" w:rsidRPr="00D3207A">
        <w:t xml:space="preserve"> </w:t>
      </w:r>
      <w:r w:rsidRPr="00D3207A">
        <w:t>to</w:t>
      </w:r>
      <w:r w:rsidR="006E03C3" w:rsidRPr="00D3207A">
        <w:t xml:space="preserve"> </w:t>
      </w:r>
      <w:r w:rsidRPr="00D3207A">
        <w:t>consider</w:t>
      </w:r>
      <w:r w:rsidR="006E03C3" w:rsidRPr="00D3207A">
        <w:t xml:space="preserve"> </w:t>
      </w:r>
      <w:r w:rsidRPr="00D3207A">
        <w:t>if</w:t>
      </w:r>
      <w:r w:rsidR="006E03C3" w:rsidRPr="00D3207A">
        <w:t xml:space="preserve"> </w:t>
      </w:r>
      <w:r w:rsidRPr="00D3207A">
        <w:t>the</w:t>
      </w:r>
      <w:r w:rsidR="006E03C3" w:rsidRPr="00D3207A">
        <w:t xml:space="preserve"> </w:t>
      </w:r>
      <w:r w:rsidRPr="00D3207A">
        <w:t>average</w:t>
      </w:r>
      <w:r w:rsidR="006E03C3" w:rsidRPr="00D3207A">
        <w:t xml:space="preserve"> </w:t>
      </w:r>
      <w:r w:rsidRPr="00D3207A">
        <w:t>credit</w:t>
      </w:r>
      <w:r w:rsidR="006E03C3" w:rsidRPr="00D3207A">
        <w:t xml:space="preserve"> </w:t>
      </w:r>
      <w:r w:rsidRPr="00D3207A">
        <w:t>standing</w:t>
      </w:r>
      <w:r w:rsidR="006E03C3" w:rsidRPr="00D3207A">
        <w:t xml:space="preserve"> </w:t>
      </w:r>
      <w:r w:rsidRPr="00D3207A">
        <w:t>of</w:t>
      </w:r>
      <w:r w:rsidR="006E03C3" w:rsidRPr="00D3207A">
        <w:t xml:space="preserve"> </w:t>
      </w:r>
      <w:r w:rsidRPr="00D3207A">
        <w:t>reinsurers and SPVs</w:t>
      </w:r>
      <w:r w:rsidR="006E03C3" w:rsidRPr="00D3207A">
        <w:t xml:space="preserve"> </w:t>
      </w:r>
      <w:r w:rsidRPr="00D3207A">
        <w:t>remains the same over the years</w:t>
      </w:r>
      <w:r w:rsidR="00690DB1">
        <w:t>;</w:t>
      </w:r>
    </w:p>
    <w:p w14:paraId="21908F5C" w14:textId="4D7D1766" w:rsidR="003E706A" w:rsidRPr="00D3207A" w:rsidRDefault="003E706A" w:rsidP="005D263F">
      <w:pPr>
        <w:spacing w:after="0"/>
        <w:ind w:left="1418" w:hanging="425"/>
        <w:jc w:val="both"/>
      </w:pPr>
      <w:r w:rsidRPr="00D3207A">
        <w:t>c)</w:t>
      </w:r>
      <w:r w:rsidRPr="00D3207A">
        <w:tab/>
      </w:r>
      <w:r w:rsidR="00FC3F7B">
        <w:t>f</w:t>
      </w:r>
      <w:r w:rsidRPr="00D3207A">
        <w:t>or operational risk and counterparty default risk, to consider if the modified duration is the same for obligations net and gross of reinsurance</w:t>
      </w:r>
      <w:r w:rsidR="00690DB1">
        <w:t>;</w:t>
      </w:r>
    </w:p>
    <w:p w14:paraId="28776EA6" w14:textId="7B04931A" w:rsidR="003E706A" w:rsidRPr="00D3207A" w:rsidRDefault="003E706A" w:rsidP="005D263F">
      <w:pPr>
        <w:spacing w:after="0"/>
        <w:ind w:left="1418" w:hanging="425"/>
        <w:jc w:val="both"/>
      </w:pPr>
      <w:r w:rsidRPr="00D3207A">
        <w:t>d)</w:t>
      </w:r>
      <w:r w:rsidRPr="00D3207A">
        <w:tab/>
      </w:r>
      <w:r w:rsidR="00FC3F7B">
        <w:t>t</w:t>
      </w:r>
      <w:r w:rsidRPr="00D3207A">
        <w:t>o consider if the material market risk in relation to the net best estimate remains the same over the years</w:t>
      </w:r>
      <w:r w:rsidR="00690DB1">
        <w:t>;</w:t>
      </w:r>
    </w:p>
    <w:p w14:paraId="2EC58938" w14:textId="166B0DCC" w:rsidR="003E706A" w:rsidRPr="00D3207A" w:rsidRDefault="003E706A" w:rsidP="005D263F">
      <w:pPr>
        <w:spacing w:after="0"/>
        <w:ind w:left="1418" w:hanging="425"/>
        <w:jc w:val="both"/>
      </w:pPr>
      <w:r w:rsidRPr="00D3207A">
        <w:t>e)</w:t>
      </w:r>
      <w:r w:rsidRPr="00D3207A">
        <w:tab/>
      </w:r>
      <w:r w:rsidR="00FC3F7B">
        <w:t>f</w:t>
      </w:r>
      <w:r w:rsidRPr="00D3207A">
        <w:t>or adjustment, to consider if the loss absorbing capacity of the technical provisions in relation to the net best estimate remains the same over the years.</w:t>
      </w:r>
    </w:p>
    <w:p w14:paraId="0C194616" w14:textId="77777777" w:rsidR="00690DB1" w:rsidRDefault="00690DB1" w:rsidP="005D263F">
      <w:pPr>
        <w:spacing w:after="0"/>
        <w:ind w:left="993"/>
        <w:jc w:val="both"/>
      </w:pPr>
    </w:p>
    <w:p w14:paraId="7BDB730A" w14:textId="7D3A9110" w:rsidR="00303C9B" w:rsidRPr="00D3207A" w:rsidRDefault="00690DB1" w:rsidP="005D263F">
      <w:pPr>
        <w:spacing w:after="0"/>
        <w:ind w:left="993"/>
        <w:jc w:val="both"/>
      </w:pPr>
      <w:r>
        <w:t>An i</w:t>
      </w:r>
      <w:r w:rsidR="003E706A" w:rsidRPr="00D3207A">
        <w:t>nsurance or reinsurance undertaking that intends to use this method should consider to what extend these assumptions are fulfilled. If some or all of these assumptions do not hold, the undertaking should carry out at least a qualitative assessment of how material the deviation from the assumptions is. If the impact of the deviation is not material compared to the risk margin as a whole, then the simplification can be used.</w:t>
      </w:r>
    </w:p>
    <w:p w14:paraId="433C60E9" w14:textId="2FC64E21" w:rsidR="003E706A" w:rsidRPr="00D3207A" w:rsidRDefault="003E706A" w:rsidP="005D263F">
      <w:pPr>
        <w:spacing w:after="0"/>
        <w:ind w:left="993"/>
        <w:jc w:val="both"/>
      </w:pPr>
      <w:r w:rsidRPr="00D3207A">
        <w:t>Otherwise the undertaking should either adjust the formula appropriately or be encouraged to use a more sophisticated method.</w:t>
      </w:r>
    </w:p>
    <w:p w14:paraId="65B0208D" w14:textId="77777777" w:rsidR="00303C9B" w:rsidRPr="00D3207A" w:rsidRDefault="00303C9B" w:rsidP="005D263F">
      <w:pPr>
        <w:spacing w:after="0"/>
        <w:jc w:val="both"/>
      </w:pPr>
    </w:p>
    <w:p w14:paraId="0FBC3C04" w14:textId="78191E75" w:rsidR="003E706A" w:rsidRPr="00D3207A" w:rsidRDefault="003E706A" w:rsidP="00FC3F7B">
      <w:pPr>
        <w:pStyle w:val="ListParagraph"/>
        <w:numPr>
          <w:ilvl w:val="2"/>
          <w:numId w:val="106"/>
        </w:numPr>
        <w:spacing w:after="0"/>
        <w:ind w:left="993" w:hanging="142"/>
        <w:jc w:val="both"/>
        <w:rPr>
          <w:b/>
          <w:bCs/>
        </w:rPr>
      </w:pPr>
      <w:r w:rsidRPr="00D3207A">
        <w:rPr>
          <w:b/>
          <w:bCs/>
        </w:rPr>
        <w:t>Method 4) To approximate the risk margin by calculating it as a percentage of the best estimate.</w:t>
      </w:r>
    </w:p>
    <w:p w14:paraId="05202CA3" w14:textId="62920AC7" w:rsidR="003E706A" w:rsidRPr="00D3207A" w:rsidRDefault="003E706A" w:rsidP="005D263F">
      <w:pPr>
        <w:spacing w:after="0"/>
        <w:ind w:left="993"/>
        <w:jc w:val="both"/>
      </w:pPr>
      <w:r w:rsidRPr="00D3207A">
        <w:t>According to this method, the risk margin should be calculated as a percentage of the best estimate technical provisions net of reinsurance at valuation date. When deciding on the percentage to be used for a given line of business, the insurance or reinsurance undertaking should take into account that this percentage is likely to increase if the modified duration of the insurance liabilities – or some other measure of the run-off pattern of these liabilities</w:t>
      </w:r>
      <w:r w:rsidR="00BA6A92">
        <w:t xml:space="preserve"> –</w:t>
      </w:r>
      <w:r w:rsidRPr="00D3207A">
        <w:t xml:space="preserve"> increases.</w:t>
      </w:r>
    </w:p>
    <w:p w14:paraId="48D13B93" w14:textId="2FCC0082" w:rsidR="003E706A" w:rsidRPr="00D3207A" w:rsidRDefault="00690DB1" w:rsidP="005D263F">
      <w:pPr>
        <w:spacing w:after="0"/>
        <w:ind w:left="993"/>
        <w:jc w:val="both"/>
      </w:pPr>
      <w:r>
        <w:t>I</w:t>
      </w:r>
      <w:r w:rsidRPr="00D3207A">
        <w:t xml:space="preserve">nsurance </w:t>
      </w:r>
      <w:r>
        <w:t>and</w:t>
      </w:r>
      <w:r w:rsidRPr="00D3207A">
        <w:t xml:space="preserve"> reinsurance </w:t>
      </w:r>
      <w:r>
        <w:t>u</w:t>
      </w:r>
      <w:r w:rsidR="003E706A" w:rsidRPr="00D3207A">
        <w:t>ndertakings should give due consideration to the very simplistic nature of this approach; it should be used only where it has been demonstrated that none of the more sophisticated risk margin approaches in the above hierarchy can be applied.</w:t>
      </w:r>
    </w:p>
    <w:p w14:paraId="47BE2D00" w14:textId="7F493981" w:rsidR="003E706A" w:rsidRPr="00D3207A" w:rsidRDefault="003E706A" w:rsidP="005D263F">
      <w:pPr>
        <w:spacing w:after="0"/>
        <w:ind w:left="993"/>
        <w:jc w:val="both"/>
      </w:pPr>
      <w:r w:rsidRPr="00D3207A">
        <w:t>When undertakings rely on this method for the calculation of the risk</w:t>
      </w:r>
      <w:r w:rsidR="006E03C3" w:rsidRPr="00D3207A">
        <w:t xml:space="preserve"> </w:t>
      </w:r>
      <w:r w:rsidRPr="00D3207A">
        <w:t>margin, they will need to justify and document the rationale for the percentages used by line of business. This justification and rationale should consider any specific characteristics of</w:t>
      </w:r>
      <w:r w:rsidR="006E03C3" w:rsidRPr="00D3207A">
        <w:t xml:space="preserve"> </w:t>
      </w:r>
      <w:r w:rsidRPr="00D3207A">
        <w:t>the</w:t>
      </w:r>
      <w:r w:rsidR="006E03C3" w:rsidRPr="00D3207A">
        <w:t xml:space="preserve"> </w:t>
      </w:r>
      <w:r w:rsidRPr="00D3207A">
        <w:t>portfolios</w:t>
      </w:r>
      <w:r w:rsidR="006E03C3" w:rsidRPr="00D3207A">
        <w:t xml:space="preserve"> </w:t>
      </w:r>
      <w:r w:rsidRPr="00D3207A">
        <w:t>being assessed. Undertakings should not use this method when negative best estimate values exist.</w:t>
      </w:r>
    </w:p>
    <w:p w14:paraId="23D93B8F" w14:textId="77777777" w:rsidR="00303C9B" w:rsidRPr="00D3207A" w:rsidRDefault="00303C9B" w:rsidP="005D263F">
      <w:pPr>
        <w:spacing w:after="0"/>
        <w:jc w:val="both"/>
      </w:pPr>
    </w:p>
    <w:p w14:paraId="5EB5DDB4" w14:textId="12AC0D40" w:rsidR="003E706A" w:rsidRPr="00D3207A" w:rsidRDefault="003E706A" w:rsidP="005D263F">
      <w:pPr>
        <w:pStyle w:val="ListParagraph"/>
        <w:numPr>
          <w:ilvl w:val="0"/>
          <w:numId w:val="72"/>
        </w:numPr>
        <w:spacing w:after="0"/>
        <w:jc w:val="both"/>
      </w:pPr>
      <w:r w:rsidRPr="00D3207A">
        <w:t xml:space="preserve">Without prejudice to the proportionality assessment and the provisions in Article 58 of </w:t>
      </w:r>
      <w:r w:rsidR="00690DB1">
        <w:t>the</w:t>
      </w:r>
      <w:r w:rsidRPr="00D3207A">
        <w:t xml:space="preserve"> </w:t>
      </w:r>
      <w:commentRangeStart w:id="13"/>
      <w:r w:rsidRPr="00D3207A">
        <w:t>Delegated Regulation</w:t>
      </w:r>
      <w:commentRangeEnd w:id="13"/>
      <w:r w:rsidR="00D05290">
        <w:rPr>
          <w:rStyle w:val="CommentReference"/>
        </w:rPr>
        <w:commentReference w:id="13"/>
      </w:r>
      <w:r w:rsidRPr="00D3207A">
        <w:t>, insurance and reinsurance undertakings may use the simplifications defined in Technical Annex IV when applying the hierarchy of methods.</w:t>
      </w:r>
    </w:p>
    <w:p w14:paraId="49A7F1F1" w14:textId="77777777" w:rsidR="00303C9B" w:rsidRPr="00D3207A" w:rsidRDefault="00303C9B" w:rsidP="005D263F">
      <w:pPr>
        <w:spacing w:after="0"/>
        <w:jc w:val="both"/>
        <w:rPr>
          <w:b/>
          <w:bCs/>
        </w:rPr>
      </w:pPr>
    </w:p>
    <w:p w14:paraId="02071D95" w14:textId="7605C420" w:rsidR="003E706A" w:rsidRPr="00D3207A" w:rsidRDefault="003E706A" w:rsidP="005D263F">
      <w:pPr>
        <w:spacing w:after="0"/>
        <w:jc w:val="both"/>
        <w:rPr>
          <w:b/>
          <w:bCs/>
        </w:rPr>
      </w:pPr>
      <w:r w:rsidRPr="00D3207A">
        <w:rPr>
          <w:b/>
          <w:bCs/>
        </w:rPr>
        <w:t>Guideline 63 – Allocation of the overall risk margin</w:t>
      </w:r>
    </w:p>
    <w:p w14:paraId="5641EF58" w14:textId="77777777" w:rsidR="00303C9B" w:rsidRPr="00D3207A" w:rsidRDefault="00303C9B" w:rsidP="005D263F">
      <w:pPr>
        <w:spacing w:after="0"/>
        <w:jc w:val="both"/>
        <w:rPr>
          <w:b/>
          <w:bCs/>
        </w:rPr>
      </w:pPr>
    </w:p>
    <w:p w14:paraId="70156B09" w14:textId="45EFB334" w:rsidR="003E706A" w:rsidRPr="00D3207A" w:rsidRDefault="003E706A" w:rsidP="005D263F">
      <w:pPr>
        <w:pStyle w:val="ListParagraph"/>
        <w:spacing w:after="0"/>
        <w:jc w:val="both"/>
      </w:pPr>
      <w:r w:rsidRPr="00D3207A">
        <w:t>Where it is overly complex to calculate the contribution of the individual lines of business to the overall Solvency Capital Requirement during the lifetime of the whole portfolio in an accurate manner, insurance and reinsurance undertakings should be allowed to apply simplified methods to allocate the overall</w:t>
      </w:r>
      <w:r w:rsidR="006E03C3" w:rsidRPr="00D3207A">
        <w:t xml:space="preserve"> </w:t>
      </w:r>
      <w:r w:rsidRPr="00D3207A">
        <w:t xml:space="preserve">risk margin to the individual lines of business which are proportionate to the nature, scale and complexity of the risks involved. The methods applied should be consistent over time. </w:t>
      </w:r>
    </w:p>
    <w:p w14:paraId="54D34C66" w14:textId="77777777" w:rsidR="00303C9B" w:rsidRPr="00D3207A" w:rsidRDefault="00303C9B" w:rsidP="005D263F">
      <w:pPr>
        <w:spacing w:after="0"/>
        <w:jc w:val="both"/>
      </w:pPr>
    </w:p>
    <w:p w14:paraId="00B8224C" w14:textId="74BD1927" w:rsidR="003E706A" w:rsidRPr="00D3207A" w:rsidRDefault="003E706A" w:rsidP="005D263F">
      <w:pPr>
        <w:spacing w:after="0"/>
        <w:jc w:val="both"/>
        <w:rPr>
          <w:b/>
          <w:bCs/>
        </w:rPr>
      </w:pPr>
      <w:r w:rsidRPr="00D3207A">
        <w:rPr>
          <w:b/>
          <w:bCs/>
        </w:rPr>
        <w:t>Calculation of technical provisions as a whole</w:t>
      </w:r>
    </w:p>
    <w:p w14:paraId="157AEAD3" w14:textId="77777777" w:rsidR="00303C9B" w:rsidRPr="00D3207A" w:rsidRDefault="00303C9B" w:rsidP="005D263F">
      <w:pPr>
        <w:spacing w:after="0"/>
        <w:jc w:val="both"/>
        <w:rPr>
          <w:b/>
          <w:bCs/>
        </w:rPr>
      </w:pPr>
    </w:p>
    <w:p w14:paraId="330871FC" w14:textId="2F77C66E" w:rsidR="003E706A" w:rsidRPr="00D3207A" w:rsidRDefault="003E706A" w:rsidP="005D263F">
      <w:pPr>
        <w:spacing w:after="0"/>
        <w:jc w:val="both"/>
        <w:rPr>
          <w:b/>
          <w:bCs/>
        </w:rPr>
      </w:pPr>
      <w:r w:rsidRPr="00D3207A">
        <w:rPr>
          <w:b/>
          <w:bCs/>
        </w:rPr>
        <w:t>Guideline 64 – Capturing uncertainty</w:t>
      </w:r>
    </w:p>
    <w:p w14:paraId="1E1841EB" w14:textId="2D1DAB3A" w:rsidR="00E06E92" w:rsidRPr="00D3207A" w:rsidRDefault="00E06E92" w:rsidP="005D263F">
      <w:pPr>
        <w:spacing w:after="0"/>
        <w:jc w:val="both"/>
      </w:pPr>
    </w:p>
    <w:p w14:paraId="31C316AA" w14:textId="4AA8B3AB" w:rsidR="00303C9B" w:rsidRPr="00D3207A" w:rsidRDefault="00AD2DAE" w:rsidP="00BA6A92">
      <w:pPr>
        <w:spacing w:after="0"/>
        <w:ind w:left="709"/>
        <w:jc w:val="both"/>
      </w:pPr>
      <w:r w:rsidRPr="00D3207A">
        <w:t xml:space="preserve">In order to </w:t>
      </w:r>
      <w:r w:rsidR="00690DB1" w:rsidRPr="00D3207A">
        <w:t xml:space="preserve">reliably </w:t>
      </w:r>
      <w:r w:rsidRPr="00D3207A">
        <w:t>replicate</w:t>
      </w:r>
      <w:r w:rsidR="00690DB1">
        <w:t xml:space="preserve"> the</w:t>
      </w:r>
      <w:r w:rsidRPr="00D3207A">
        <w:t xml:space="preserve"> future cash</w:t>
      </w:r>
      <w:r w:rsidR="003D0A99">
        <w:t>-</w:t>
      </w:r>
      <w:r w:rsidRPr="00D3207A">
        <w:t>flows</w:t>
      </w:r>
      <w:r w:rsidR="00690DB1">
        <w:t xml:space="preserve"> associated with</w:t>
      </w:r>
      <w:r w:rsidRPr="00D3207A">
        <w:t xml:space="preserve"> insurance </w:t>
      </w:r>
      <w:r w:rsidR="00690DB1">
        <w:t>or</w:t>
      </w:r>
      <w:r w:rsidRPr="00D3207A">
        <w:t xml:space="preserve"> reinsurance </w:t>
      </w:r>
      <w:r w:rsidR="00690DB1">
        <w:t>obligations</w:t>
      </w:r>
      <w:r w:rsidR="003D0A99">
        <w:t>, insurance and reinsurance</w:t>
      </w:r>
      <w:r w:rsidR="00690DB1">
        <w:t xml:space="preserve"> </w:t>
      </w:r>
      <w:r w:rsidRPr="00D3207A">
        <w:t xml:space="preserve">undertakings should </w:t>
      </w:r>
      <w:r w:rsidR="003D0A99">
        <w:t>consider</w:t>
      </w:r>
      <w:r w:rsidRPr="00D3207A">
        <w:t xml:space="preserve"> uncertainties </w:t>
      </w:r>
      <w:r w:rsidR="00FC0002">
        <w:t>surrounding</w:t>
      </w:r>
      <w:r w:rsidRPr="00D3207A">
        <w:t xml:space="preserve"> </w:t>
      </w:r>
      <w:r w:rsidR="00FC0002">
        <w:t xml:space="preserve">the </w:t>
      </w:r>
      <w:r w:rsidRPr="00D3207A">
        <w:t xml:space="preserve">insurance and reinsurance </w:t>
      </w:r>
      <w:r w:rsidR="003D0A99">
        <w:t>obligations</w:t>
      </w:r>
      <w:r w:rsidRPr="00D3207A">
        <w:t xml:space="preserve"> </w:t>
      </w:r>
      <w:r w:rsidR="00FC0002">
        <w:t>and</w:t>
      </w:r>
      <w:r w:rsidRPr="00D3207A">
        <w:t xml:space="preserve"> the cash</w:t>
      </w:r>
      <w:r w:rsidR="003D0A99">
        <w:t>-</w:t>
      </w:r>
      <w:r w:rsidRPr="00D3207A">
        <w:t xml:space="preserve">flows of </w:t>
      </w:r>
      <w:r w:rsidR="00FC0002">
        <w:t xml:space="preserve">the </w:t>
      </w:r>
      <w:r w:rsidRPr="00D3207A">
        <w:t>financial instruments</w:t>
      </w:r>
      <w:r w:rsidR="00FC0002">
        <w:t>, which relate</w:t>
      </w:r>
      <w:r w:rsidRPr="00D3207A">
        <w:t xml:space="preserve"> not only </w:t>
      </w:r>
      <w:r w:rsidR="00FC0002">
        <w:t>to</w:t>
      </w:r>
      <w:r w:rsidRPr="00D3207A">
        <w:t xml:space="preserve"> different </w:t>
      </w:r>
      <w:r w:rsidR="00FC0002">
        <w:t>amounts</w:t>
      </w:r>
      <w:r w:rsidRPr="00D3207A">
        <w:t xml:space="preserve"> of future cash</w:t>
      </w:r>
      <w:r w:rsidR="003D0A99">
        <w:t>-</w:t>
      </w:r>
      <w:r w:rsidRPr="00D3207A">
        <w:t xml:space="preserve">flows but also </w:t>
      </w:r>
      <w:r w:rsidR="00FC0002">
        <w:t>to</w:t>
      </w:r>
      <w:r w:rsidRPr="00D3207A">
        <w:t xml:space="preserve"> </w:t>
      </w:r>
      <w:r w:rsidR="00FC0002">
        <w:t>their patterns of variability</w:t>
      </w:r>
      <w:r w:rsidRPr="00D3207A">
        <w:t>.</w:t>
      </w:r>
    </w:p>
    <w:p w14:paraId="22BDA5F6" w14:textId="77777777" w:rsidR="00E06E92" w:rsidRPr="00D3207A" w:rsidRDefault="00E06E92" w:rsidP="005D263F">
      <w:pPr>
        <w:spacing w:after="0"/>
        <w:jc w:val="both"/>
      </w:pPr>
    </w:p>
    <w:p w14:paraId="4C06407D" w14:textId="278F6BA8" w:rsidR="003E706A" w:rsidRPr="00D3207A" w:rsidRDefault="003E706A" w:rsidP="005D263F">
      <w:pPr>
        <w:spacing w:after="0"/>
        <w:jc w:val="both"/>
        <w:rPr>
          <w:b/>
          <w:bCs/>
        </w:rPr>
      </w:pPr>
      <w:r w:rsidRPr="00D3207A">
        <w:rPr>
          <w:b/>
          <w:bCs/>
        </w:rPr>
        <w:t>Guideline 65 – Reliable replication</w:t>
      </w:r>
    </w:p>
    <w:p w14:paraId="4421DF0D" w14:textId="77777777" w:rsidR="00303C9B" w:rsidRPr="00D3207A" w:rsidRDefault="00303C9B" w:rsidP="005D263F">
      <w:pPr>
        <w:spacing w:after="0"/>
        <w:jc w:val="both"/>
        <w:rPr>
          <w:b/>
          <w:bCs/>
        </w:rPr>
      </w:pPr>
    </w:p>
    <w:p w14:paraId="35E991FF" w14:textId="3C74A430" w:rsidR="003E706A" w:rsidRPr="00D3207A" w:rsidRDefault="003E706A" w:rsidP="005D263F">
      <w:pPr>
        <w:pStyle w:val="ListParagraph"/>
        <w:numPr>
          <w:ilvl w:val="0"/>
          <w:numId w:val="75"/>
        </w:numPr>
        <w:spacing w:after="0"/>
        <w:jc w:val="both"/>
      </w:pPr>
      <w:r w:rsidRPr="00D3207A">
        <w:t>Insurance and reinsurance undertakings should not consider future cash-flows associated with insurance or reinsurance obligations to be reliably replicated if:</w:t>
      </w:r>
    </w:p>
    <w:p w14:paraId="6F36BAF2" w14:textId="00751980" w:rsidR="003E706A" w:rsidRPr="00D3207A" w:rsidRDefault="00762926" w:rsidP="00762926">
      <w:pPr>
        <w:pStyle w:val="ListParagraph"/>
        <w:numPr>
          <w:ilvl w:val="1"/>
          <w:numId w:val="68"/>
        </w:numPr>
        <w:spacing w:after="0"/>
        <w:ind w:left="993" w:hanging="284"/>
        <w:jc w:val="both"/>
      </w:pPr>
      <w:r>
        <w:lastRenderedPageBreak/>
        <w:t>o</w:t>
      </w:r>
      <w:r w:rsidR="003E706A" w:rsidRPr="00D3207A">
        <w:t>ne or several features of the future cash-flow, inter alia its expected value, its volatility or any other feature, depend on risks whose specific pattern in the insurance undertaking cannot be found in instruments actively traded in financial markets</w:t>
      </w:r>
      <w:r w:rsidR="0009468D">
        <w:t>;</w:t>
      </w:r>
    </w:p>
    <w:p w14:paraId="3F9E74B4" w14:textId="4FDCC6B6" w:rsidR="003E706A" w:rsidRPr="00D3207A" w:rsidRDefault="0009468D" w:rsidP="00762926">
      <w:pPr>
        <w:pStyle w:val="ListParagraph"/>
        <w:numPr>
          <w:ilvl w:val="1"/>
          <w:numId w:val="68"/>
        </w:numPr>
        <w:spacing w:after="0"/>
        <w:ind w:left="993" w:hanging="284"/>
        <w:jc w:val="both"/>
      </w:pPr>
      <w:r>
        <w:t>c</w:t>
      </w:r>
      <w:r w:rsidR="003E706A" w:rsidRPr="00D3207A">
        <w:t>urrent trade and price information are not normally readily available to the public, due to the fact that one or several features of the future cash-flow depend to any extent on the development of factors specific to insurance and reinsurance undertakings, such as expenses or acquisition costs; or</w:t>
      </w:r>
    </w:p>
    <w:p w14:paraId="5442F237" w14:textId="5844E466" w:rsidR="003E706A" w:rsidRPr="00D3207A" w:rsidRDefault="003E706A" w:rsidP="00762926">
      <w:pPr>
        <w:spacing w:after="0"/>
        <w:ind w:left="993" w:hanging="284"/>
        <w:jc w:val="both"/>
      </w:pPr>
      <w:r w:rsidRPr="00D3207A">
        <w:t>c)</w:t>
      </w:r>
      <w:r w:rsidRPr="00D3207A">
        <w:tab/>
      </w:r>
      <w:r w:rsidR="0009468D">
        <w:t>o</w:t>
      </w:r>
      <w:r w:rsidRPr="00D3207A">
        <w:t>ne or more features of the future cash-flow depend on the development of factors external to the undertaking for which there are no financial instruments for which reliable market values are observable.</w:t>
      </w:r>
    </w:p>
    <w:p w14:paraId="2415C098" w14:textId="3A75C9BD" w:rsidR="00303C9B" w:rsidRPr="00D3207A" w:rsidRDefault="00303C9B" w:rsidP="005D263F">
      <w:pPr>
        <w:spacing w:after="0"/>
        <w:jc w:val="both"/>
      </w:pPr>
    </w:p>
    <w:p w14:paraId="2752F994" w14:textId="718A5956" w:rsidR="003E706A" w:rsidRPr="00D3207A" w:rsidRDefault="003E706A" w:rsidP="005D263F">
      <w:pPr>
        <w:spacing w:after="0"/>
        <w:jc w:val="both"/>
        <w:rPr>
          <w:b/>
          <w:bCs/>
        </w:rPr>
      </w:pPr>
      <w:r w:rsidRPr="00D3207A">
        <w:rPr>
          <w:b/>
          <w:bCs/>
        </w:rPr>
        <w:t>Guideline 66 – Short term disruptions</w:t>
      </w:r>
    </w:p>
    <w:p w14:paraId="63923B71" w14:textId="77777777" w:rsidR="00303C9B" w:rsidRPr="00D3207A" w:rsidRDefault="00303C9B" w:rsidP="005D263F">
      <w:pPr>
        <w:spacing w:after="0"/>
        <w:jc w:val="both"/>
        <w:rPr>
          <w:b/>
          <w:bCs/>
        </w:rPr>
      </w:pPr>
    </w:p>
    <w:p w14:paraId="5B9844C3" w14:textId="587D1AFD" w:rsidR="003E706A" w:rsidRPr="00D3207A" w:rsidRDefault="003E706A" w:rsidP="005D263F">
      <w:pPr>
        <w:pStyle w:val="ListParagraph"/>
        <w:numPr>
          <w:ilvl w:val="0"/>
          <w:numId w:val="76"/>
        </w:numPr>
        <w:spacing w:after="0"/>
        <w:jc w:val="both"/>
      </w:pPr>
      <w:r w:rsidRPr="00D3207A">
        <w:t>Where</w:t>
      </w:r>
      <w:r w:rsidR="006E03C3" w:rsidRPr="00D3207A">
        <w:t xml:space="preserve"> </w:t>
      </w:r>
      <w:r w:rsidRPr="00D3207A">
        <w:t>an</w:t>
      </w:r>
      <w:r w:rsidR="006E03C3" w:rsidRPr="00D3207A">
        <w:t xml:space="preserve"> </w:t>
      </w:r>
      <w:r w:rsidRPr="00D3207A">
        <w:t>active</w:t>
      </w:r>
      <w:r w:rsidR="006E03C3" w:rsidRPr="00D3207A">
        <w:t xml:space="preserve"> </w:t>
      </w:r>
      <w:r w:rsidRPr="00D3207A">
        <w:t>and</w:t>
      </w:r>
      <w:r w:rsidR="006E03C3" w:rsidRPr="00D3207A">
        <w:t xml:space="preserve"> </w:t>
      </w:r>
      <w:r w:rsidRPr="00D3207A">
        <w:t>transparent</w:t>
      </w:r>
      <w:r w:rsidR="006E03C3" w:rsidRPr="00D3207A">
        <w:t xml:space="preserve"> </w:t>
      </w:r>
      <w:r w:rsidRPr="00D3207A">
        <w:t>market</w:t>
      </w:r>
      <w:r w:rsidR="006E03C3" w:rsidRPr="00D3207A">
        <w:t xml:space="preserve"> </w:t>
      </w:r>
      <w:r w:rsidRPr="00D3207A">
        <w:t>does</w:t>
      </w:r>
      <w:r w:rsidR="006E03C3" w:rsidRPr="00D3207A">
        <w:t xml:space="preserve"> </w:t>
      </w:r>
      <w:r w:rsidRPr="00D3207A">
        <w:t>not</w:t>
      </w:r>
      <w:r w:rsidR="006E03C3" w:rsidRPr="00D3207A">
        <w:t xml:space="preserve"> </w:t>
      </w:r>
      <w:r w:rsidRPr="00D3207A">
        <w:t>temporarily</w:t>
      </w:r>
      <w:r w:rsidR="006E03C3" w:rsidRPr="00D3207A">
        <w:t xml:space="preserve"> </w:t>
      </w:r>
      <w:r w:rsidRPr="00D3207A">
        <w:t>satisfy</w:t>
      </w:r>
      <w:r w:rsidR="006E03C3" w:rsidRPr="00D3207A">
        <w:t xml:space="preserve"> </w:t>
      </w:r>
      <w:r w:rsidRPr="00D3207A">
        <w:t>one or more of the conditions of being deep and liquid and it is reasonably expected to meet</w:t>
      </w:r>
      <w:r w:rsidR="006E03C3" w:rsidRPr="00D3207A">
        <w:t xml:space="preserve"> </w:t>
      </w:r>
      <w:r w:rsidRPr="00D3207A">
        <w:t>again</w:t>
      </w:r>
      <w:r w:rsidR="006E03C3" w:rsidRPr="00D3207A">
        <w:t xml:space="preserve"> </w:t>
      </w:r>
      <w:r w:rsidRPr="00D3207A">
        <w:t>the</w:t>
      </w:r>
      <w:r w:rsidR="006E03C3" w:rsidRPr="00D3207A">
        <w:t xml:space="preserve"> </w:t>
      </w:r>
      <w:r w:rsidRPr="00D3207A">
        <w:t>conditions</w:t>
      </w:r>
      <w:r w:rsidR="006E03C3" w:rsidRPr="00D3207A">
        <w:t xml:space="preserve"> </w:t>
      </w:r>
      <w:r w:rsidRPr="00D3207A">
        <w:t>during</w:t>
      </w:r>
      <w:r w:rsidR="006E03C3" w:rsidRPr="00D3207A">
        <w:t xml:space="preserve"> </w:t>
      </w:r>
      <w:r w:rsidRPr="00D3207A">
        <w:t>the</w:t>
      </w:r>
      <w:r w:rsidR="006E03C3" w:rsidRPr="00D3207A">
        <w:t xml:space="preserve"> </w:t>
      </w:r>
      <w:r w:rsidRPr="00D3207A">
        <w:t>following</w:t>
      </w:r>
      <w:r w:rsidR="006E03C3" w:rsidRPr="00D3207A">
        <w:t xml:space="preserve"> </w:t>
      </w:r>
      <w:r w:rsidRPr="00D3207A">
        <w:t>three</w:t>
      </w:r>
      <w:r w:rsidR="006E03C3" w:rsidRPr="00D3207A">
        <w:t xml:space="preserve"> </w:t>
      </w:r>
      <w:r w:rsidRPr="00D3207A">
        <w:t>months,</w:t>
      </w:r>
      <w:r w:rsidR="006E03C3" w:rsidRPr="00D3207A">
        <w:t xml:space="preserve"> </w:t>
      </w:r>
      <w:r w:rsidRPr="00D3207A">
        <w:t>insurance and reinsurance undertakings should</w:t>
      </w:r>
      <w:r w:rsidR="006E03C3" w:rsidRPr="00D3207A">
        <w:t xml:space="preserve"> </w:t>
      </w:r>
      <w:r w:rsidRPr="00D3207A">
        <w:t>use</w:t>
      </w:r>
      <w:r w:rsidR="006E03C3" w:rsidRPr="00D3207A">
        <w:t xml:space="preserve"> </w:t>
      </w:r>
      <w:r w:rsidRPr="00D3207A">
        <w:t>prices</w:t>
      </w:r>
      <w:r w:rsidR="006E03C3" w:rsidRPr="00D3207A">
        <w:t xml:space="preserve"> </w:t>
      </w:r>
      <w:r w:rsidRPr="00D3207A">
        <w:t>that</w:t>
      </w:r>
      <w:r w:rsidR="006E03C3" w:rsidRPr="00D3207A">
        <w:t xml:space="preserve"> </w:t>
      </w:r>
      <w:r w:rsidRPr="00D3207A">
        <w:t xml:space="preserve">were observed during that period for the purposes of these </w:t>
      </w:r>
      <w:r w:rsidR="00B22564">
        <w:t>g</w:t>
      </w:r>
      <w:r w:rsidRPr="00D3207A">
        <w:t>uidelines.</w:t>
      </w:r>
    </w:p>
    <w:p w14:paraId="5F68CD16" w14:textId="77777777" w:rsidR="00303C9B" w:rsidRPr="00D3207A" w:rsidRDefault="00303C9B" w:rsidP="005D263F">
      <w:pPr>
        <w:spacing w:after="0"/>
        <w:jc w:val="both"/>
      </w:pPr>
    </w:p>
    <w:p w14:paraId="4ADF5BBC" w14:textId="01962890" w:rsidR="003E706A" w:rsidRPr="00D3207A" w:rsidRDefault="003E706A" w:rsidP="005D263F">
      <w:pPr>
        <w:pStyle w:val="ListParagraph"/>
        <w:numPr>
          <w:ilvl w:val="0"/>
          <w:numId w:val="76"/>
        </w:numPr>
        <w:spacing w:after="0"/>
        <w:jc w:val="both"/>
      </w:pPr>
      <w:r w:rsidRPr="00D3207A">
        <w:t>Insurance and reinsurance undertakings</w:t>
      </w:r>
      <w:r w:rsidR="006E03C3" w:rsidRPr="00D3207A">
        <w:t xml:space="preserve"> </w:t>
      </w:r>
      <w:r w:rsidRPr="00D3207A">
        <w:t>should</w:t>
      </w:r>
      <w:r w:rsidR="006E03C3" w:rsidRPr="00D3207A">
        <w:t xml:space="preserve"> </w:t>
      </w:r>
      <w:r w:rsidRPr="00D3207A">
        <w:t>asses</w:t>
      </w:r>
      <w:r w:rsidR="006E03C3" w:rsidRPr="00D3207A">
        <w:t xml:space="preserve">s </w:t>
      </w:r>
      <w:r w:rsidRPr="00D3207A">
        <w:t>that</w:t>
      </w:r>
      <w:r w:rsidR="006E03C3" w:rsidRPr="00D3207A">
        <w:t xml:space="preserve"> </w:t>
      </w:r>
      <w:r w:rsidRPr="00D3207A">
        <w:t>the</w:t>
      </w:r>
      <w:r w:rsidR="006E03C3" w:rsidRPr="00D3207A">
        <w:t xml:space="preserve"> </w:t>
      </w:r>
      <w:r w:rsidRPr="00D3207A">
        <w:t>use</w:t>
      </w:r>
      <w:r w:rsidR="006E03C3" w:rsidRPr="00D3207A">
        <w:t xml:space="preserve"> </w:t>
      </w:r>
      <w:r w:rsidRPr="00D3207A">
        <w:t>of</w:t>
      </w:r>
      <w:r w:rsidR="006E03C3" w:rsidRPr="00D3207A">
        <w:t xml:space="preserve"> </w:t>
      </w:r>
      <w:r w:rsidRPr="00D3207A">
        <w:t>these</w:t>
      </w:r>
      <w:r w:rsidR="006E03C3" w:rsidRPr="00D3207A">
        <w:t xml:space="preserve"> </w:t>
      </w:r>
      <w:r w:rsidRPr="00D3207A">
        <w:t>prices</w:t>
      </w:r>
      <w:r w:rsidR="006E03C3" w:rsidRPr="00D3207A">
        <w:t xml:space="preserve"> </w:t>
      </w:r>
      <w:r w:rsidRPr="00D3207A">
        <w:t>does</w:t>
      </w:r>
      <w:r w:rsidR="006E03C3" w:rsidRPr="00D3207A">
        <w:t xml:space="preserve"> </w:t>
      </w:r>
      <w:r w:rsidRPr="00D3207A">
        <w:t>not</w:t>
      </w:r>
      <w:r w:rsidR="006E03C3" w:rsidRPr="00D3207A">
        <w:t xml:space="preserve"> </w:t>
      </w:r>
      <w:r w:rsidRPr="00D3207A">
        <w:t>result</w:t>
      </w:r>
      <w:r w:rsidR="006E03C3" w:rsidRPr="00D3207A">
        <w:t xml:space="preserve"> </w:t>
      </w:r>
      <w:r w:rsidRPr="00D3207A">
        <w:t>in</w:t>
      </w:r>
      <w:r w:rsidR="006E03C3" w:rsidRPr="00D3207A">
        <w:t xml:space="preserve"> </w:t>
      </w:r>
      <w:r w:rsidRPr="00D3207A">
        <w:t>a material error in the valuation of the technical provisions.</w:t>
      </w:r>
    </w:p>
    <w:p w14:paraId="79C1AAE7" w14:textId="77777777" w:rsidR="0052417B" w:rsidRPr="00D3207A" w:rsidRDefault="0052417B" w:rsidP="005D263F">
      <w:pPr>
        <w:spacing w:after="0"/>
        <w:jc w:val="both"/>
        <w:rPr>
          <w:b/>
          <w:bCs/>
        </w:rPr>
      </w:pPr>
    </w:p>
    <w:p w14:paraId="75CF0BFE" w14:textId="6ABB7BA9" w:rsidR="003E706A" w:rsidRPr="00D3207A" w:rsidRDefault="003E706A" w:rsidP="005D263F">
      <w:pPr>
        <w:spacing w:after="0"/>
        <w:jc w:val="both"/>
        <w:rPr>
          <w:b/>
          <w:bCs/>
        </w:rPr>
      </w:pPr>
      <w:r w:rsidRPr="00D3207A">
        <w:rPr>
          <w:b/>
          <w:bCs/>
        </w:rPr>
        <w:t xml:space="preserve">Guideline 67 – Unbundling of obligations valued as a whole </w:t>
      </w:r>
    </w:p>
    <w:p w14:paraId="23D41FF7" w14:textId="77777777" w:rsidR="00303C9B" w:rsidRPr="00D3207A" w:rsidRDefault="00303C9B" w:rsidP="005D263F">
      <w:pPr>
        <w:spacing w:after="0"/>
        <w:jc w:val="both"/>
        <w:rPr>
          <w:b/>
          <w:bCs/>
        </w:rPr>
      </w:pPr>
    </w:p>
    <w:p w14:paraId="22F2C472" w14:textId="02A770EE" w:rsidR="003E706A" w:rsidRPr="00D3207A" w:rsidRDefault="003E706A" w:rsidP="005D263F">
      <w:pPr>
        <w:pStyle w:val="ListParagraph"/>
        <w:spacing w:after="0"/>
        <w:jc w:val="both"/>
      </w:pPr>
      <w:r w:rsidRPr="00D3207A">
        <w:t xml:space="preserve">Where under the same insurance </w:t>
      </w:r>
      <w:r w:rsidR="0009468D">
        <w:t>contract</w:t>
      </w:r>
      <w:r w:rsidRPr="00D3207A">
        <w:t xml:space="preserve"> a number of future cash-flows exist which meet all the conditions in order to calculate the</w:t>
      </w:r>
      <w:r w:rsidR="006E03C3" w:rsidRPr="00D3207A">
        <w:t xml:space="preserve"> </w:t>
      </w:r>
      <w:r w:rsidRPr="00D3207A">
        <w:t>technical</w:t>
      </w:r>
      <w:r w:rsidR="006E03C3" w:rsidRPr="00D3207A">
        <w:t xml:space="preserve"> </w:t>
      </w:r>
      <w:r w:rsidRPr="00D3207A">
        <w:t>provision</w:t>
      </w:r>
      <w:r w:rsidR="006E03C3" w:rsidRPr="00D3207A">
        <w:t xml:space="preserve"> </w:t>
      </w:r>
      <w:r w:rsidRPr="00D3207A">
        <w:t>as</w:t>
      </w:r>
      <w:r w:rsidR="006E03C3" w:rsidRPr="00D3207A">
        <w:t xml:space="preserve"> </w:t>
      </w:r>
      <w:r w:rsidRPr="00D3207A">
        <w:t>whole</w:t>
      </w:r>
      <w:r w:rsidR="006E03C3" w:rsidRPr="00D3207A">
        <w:t xml:space="preserve"> </w:t>
      </w:r>
      <w:r w:rsidRPr="00D3207A">
        <w:t xml:space="preserve">and other future cash-flows which do not meet some of those conditions, insurance and reinsurance undertakings should unbundle </w:t>
      </w:r>
      <w:r w:rsidR="0009468D">
        <w:t>both sets of</w:t>
      </w:r>
      <w:r w:rsidRPr="00D3207A">
        <w:t xml:space="preserve"> cash-flows. For the first set of cash-flows, no separate calculation of the best estimate and the risk margin should be required but undertakings should be required to carry on a separate calculation for the second set of</w:t>
      </w:r>
      <w:r w:rsidR="006E03C3" w:rsidRPr="00D3207A">
        <w:t xml:space="preserve"> </w:t>
      </w:r>
      <w:r w:rsidRPr="00D3207A">
        <w:t>cash-flows.</w:t>
      </w:r>
      <w:r w:rsidR="006E03C3" w:rsidRPr="00D3207A">
        <w:t xml:space="preserve"> </w:t>
      </w:r>
      <w:r w:rsidRPr="00D3207A">
        <w:t>If</w:t>
      </w:r>
      <w:r w:rsidR="006E03C3" w:rsidRPr="00D3207A">
        <w:t xml:space="preserve"> </w:t>
      </w:r>
      <w:r w:rsidRPr="00D3207A">
        <w:t>the</w:t>
      </w:r>
      <w:r w:rsidR="006E03C3" w:rsidRPr="00D3207A">
        <w:t xml:space="preserve"> </w:t>
      </w:r>
      <w:r w:rsidRPr="00D3207A">
        <w:t>proposed</w:t>
      </w:r>
      <w:r w:rsidR="006E03C3" w:rsidRPr="00D3207A">
        <w:t xml:space="preserve"> </w:t>
      </w:r>
      <w:r w:rsidRPr="00D3207A">
        <w:t>unbundling is not feasible, in particular</w:t>
      </w:r>
      <w:r w:rsidR="006E03C3" w:rsidRPr="00D3207A">
        <w:t xml:space="preserve"> </w:t>
      </w:r>
      <w:r w:rsidRPr="00D3207A">
        <w:t>when</w:t>
      </w:r>
      <w:r w:rsidR="006E03C3" w:rsidRPr="00D3207A">
        <w:t xml:space="preserve"> </w:t>
      </w:r>
      <w:r w:rsidRPr="00D3207A">
        <w:t>there</w:t>
      </w:r>
      <w:r w:rsidR="006E03C3" w:rsidRPr="00D3207A">
        <w:t xml:space="preserve"> </w:t>
      </w:r>
      <w:r w:rsidRPr="00D3207A">
        <w:t>is</w:t>
      </w:r>
      <w:r w:rsidR="006E03C3" w:rsidRPr="00D3207A">
        <w:t xml:space="preserve"> </w:t>
      </w:r>
      <w:r w:rsidRPr="00D3207A">
        <w:t>significant interdependency between the two sets of cash flows, undertakings should be required</w:t>
      </w:r>
      <w:r w:rsidR="006E03C3" w:rsidRPr="00D3207A">
        <w:t xml:space="preserve"> </w:t>
      </w:r>
      <w:r w:rsidRPr="00D3207A">
        <w:t>to</w:t>
      </w:r>
      <w:r w:rsidR="006E03C3" w:rsidRPr="00D3207A">
        <w:t xml:space="preserve"> </w:t>
      </w:r>
      <w:r w:rsidRPr="00D3207A">
        <w:t>carry</w:t>
      </w:r>
      <w:r w:rsidR="006E03C3" w:rsidRPr="00D3207A">
        <w:t xml:space="preserve"> </w:t>
      </w:r>
      <w:r w:rsidRPr="00D3207A">
        <w:t>on</w:t>
      </w:r>
      <w:r w:rsidR="006E03C3" w:rsidRPr="00D3207A">
        <w:t xml:space="preserve"> </w:t>
      </w:r>
      <w:r w:rsidRPr="00D3207A">
        <w:t>separate</w:t>
      </w:r>
      <w:r w:rsidR="006E03C3" w:rsidRPr="00D3207A">
        <w:t xml:space="preserve"> </w:t>
      </w:r>
      <w:r w:rsidRPr="00D3207A">
        <w:t>calculations</w:t>
      </w:r>
      <w:r w:rsidR="006E03C3" w:rsidRPr="00D3207A">
        <w:t xml:space="preserve"> </w:t>
      </w:r>
      <w:r w:rsidRPr="00D3207A">
        <w:t>of</w:t>
      </w:r>
      <w:r w:rsidR="006E03C3" w:rsidRPr="00D3207A">
        <w:t xml:space="preserve"> </w:t>
      </w:r>
      <w:r w:rsidRPr="00D3207A">
        <w:t>the</w:t>
      </w:r>
      <w:r w:rsidR="006E03C3" w:rsidRPr="00D3207A">
        <w:t xml:space="preserve"> </w:t>
      </w:r>
      <w:r w:rsidRPr="00D3207A">
        <w:t>best</w:t>
      </w:r>
      <w:r w:rsidR="006E03C3" w:rsidRPr="00D3207A">
        <w:t xml:space="preserve"> </w:t>
      </w:r>
      <w:r w:rsidRPr="00D3207A">
        <w:t>estimate</w:t>
      </w:r>
      <w:r w:rsidR="006E03C3" w:rsidRPr="00D3207A">
        <w:t xml:space="preserve"> </w:t>
      </w:r>
      <w:r w:rsidRPr="00D3207A">
        <w:t>and</w:t>
      </w:r>
      <w:r w:rsidR="006E03C3" w:rsidRPr="00D3207A">
        <w:t xml:space="preserve"> </w:t>
      </w:r>
      <w:r w:rsidRPr="00D3207A">
        <w:t>the</w:t>
      </w:r>
      <w:r w:rsidR="006E03C3" w:rsidRPr="00D3207A">
        <w:t xml:space="preserve"> </w:t>
      </w:r>
      <w:r w:rsidRPr="00D3207A">
        <w:t xml:space="preserve"> risk margin for the whole insurance </w:t>
      </w:r>
      <w:r w:rsidR="0009468D">
        <w:t>contract</w:t>
      </w:r>
      <w:r w:rsidRPr="00D3207A">
        <w:t>.</w:t>
      </w:r>
    </w:p>
    <w:p w14:paraId="270B7164" w14:textId="77777777" w:rsidR="00303C9B" w:rsidRPr="00D3207A" w:rsidRDefault="00303C9B" w:rsidP="005D263F">
      <w:pPr>
        <w:spacing w:after="0"/>
        <w:jc w:val="both"/>
      </w:pPr>
    </w:p>
    <w:p w14:paraId="566709B4" w14:textId="77777777" w:rsidR="003E706A" w:rsidRPr="00D3207A" w:rsidRDefault="003E706A" w:rsidP="005D263F">
      <w:pPr>
        <w:spacing w:after="0"/>
        <w:jc w:val="both"/>
        <w:rPr>
          <w:b/>
          <w:bCs/>
        </w:rPr>
      </w:pPr>
      <w:r w:rsidRPr="00D3207A">
        <w:rPr>
          <w:b/>
          <w:bCs/>
        </w:rPr>
        <w:t>Future premiums</w:t>
      </w:r>
    </w:p>
    <w:p w14:paraId="5756668B" w14:textId="77777777" w:rsidR="00BA6A92" w:rsidRDefault="00BA6A92" w:rsidP="005D263F">
      <w:pPr>
        <w:spacing w:after="0"/>
        <w:jc w:val="both"/>
        <w:rPr>
          <w:b/>
          <w:bCs/>
        </w:rPr>
      </w:pPr>
    </w:p>
    <w:p w14:paraId="49EC1263" w14:textId="0CC0B117" w:rsidR="003E706A" w:rsidRPr="00D3207A" w:rsidRDefault="003E706A" w:rsidP="005D263F">
      <w:pPr>
        <w:spacing w:after="0"/>
        <w:jc w:val="both"/>
        <w:rPr>
          <w:b/>
          <w:bCs/>
        </w:rPr>
      </w:pPr>
      <w:r w:rsidRPr="00D3207A">
        <w:rPr>
          <w:b/>
          <w:bCs/>
        </w:rPr>
        <w:t xml:space="preserve">Guideline 68 – future premium cash-flows versus premium receivable </w:t>
      </w:r>
    </w:p>
    <w:p w14:paraId="7CF2B618" w14:textId="77777777" w:rsidR="00303C9B" w:rsidRPr="00D3207A" w:rsidRDefault="00303C9B" w:rsidP="005D263F">
      <w:pPr>
        <w:spacing w:after="0"/>
        <w:jc w:val="both"/>
        <w:rPr>
          <w:b/>
          <w:bCs/>
        </w:rPr>
      </w:pPr>
    </w:p>
    <w:p w14:paraId="1FB2408D" w14:textId="12B8D7FD" w:rsidR="003E706A" w:rsidRPr="00D3207A" w:rsidRDefault="003E706A" w:rsidP="005D263F">
      <w:pPr>
        <w:pStyle w:val="ListParagraph"/>
        <w:numPr>
          <w:ilvl w:val="0"/>
          <w:numId w:val="78"/>
        </w:numPr>
        <w:spacing w:after="0"/>
        <w:jc w:val="both"/>
      </w:pPr>
      <w:r w:rsidRPr="00D3207A">
        <w:t>Insurance and reinsurance undertakings should establish the future premium cash-flows contained within the insurance contract boundaries at the valuation date and include within the calculation of its best estimate liabilities those future premium cash-flows which fall due after the valuation date.</w:t>
      </w:r>
    </w:p>
    <w:p w14:paraId="1005321F" w14:textId="77777777" w:rsidR="00303C9B" w:rsidRPr="00D3207A" w:rsidRDefault="00303C9B" w:rsidP="005D263F">
      <w:pPr>
        <w:spacing w:after="0"/>
        <w:jc w:val="both"/>
      </w:pPr>
    </w:p>
    <w:p w14:paraId="4CAA720C" w14:textId="50A8E948" w:rsidR="003E706A" w:rsidRPr="00D3207A" w:rsidRDefault="003E706A" w:rsidP="005D263F">
      <w:pPr>
        <w:pStyle w:val="ListParagraph"/>
        <w:numPr>
          <w:ilvl w:val="0"/>
          <w:numId w:val="78"/>
        </w:numPr>
        <w:spacing w:after="0"/>
        <w:jc w:val="both"/>
      </w:pPr>
      <w:r w:rsidRPr="00D3207A">
        <w:t>Insurance and reinsurance undertakings should treat premiums which are due for payment by the valuation date as a premium receivable on its balance sheet until the cash is received.</w:t>
      </w:r>
    </w:p>
    <w:p w14:paraId="3E0D63FD" w14:textId="77777777" w:rsidR="00303C9B" w:rsidRPr="00D3207A" w:rsidRDefault="00303C9B" w:rsidP="005D263F">
      <w:pPr>
        <w:spacing w:after="0"/>
        <w:jc w:val="both"/>
      </w:pPr>
    </w:p>
    <w:p w14:paraId="41E61D29" w14:textId="4806C9E8" w:rsidR="003E706A" w:rsidRPr="00D3207A" w:rsidRDefault="003E706A" w:rsidP="005D263F">
      <w:pPr>
        <w:spacing w:after="0"/>
        <w:jc w:val="both"/>
        <w:rPr>
          <w:b/>
          <w:bCs/>
        </w:rPr>
      </w:pPr>
      <w:r w:rsidRPr="00D3207A">
        <w:rPr>
          <w:b/>
          <w:bCs/>
        </w:rPr>
        <w:t>Calculation of claims provisions</w:t>
      </w:r>
    </w:p>
    <w:p w14:paraId="06F068EA" w14:textId="77777777" w:rsidR="00DD207A" w:rsidRDefault="00DD207A" w:rsidP="005D263F">
      <w:pPr>
        <w:spacing w:after="0"/>
        <w:jc w:val="both"/>
        <w:rPr>
          <w:b/>
          <w:bCs/>
        </w:rPr>
      </w:pPr>
    </w:p>
    <w:p w14:paraId="080F7B01" w14:textId="251825C3" w:rsidR="003E706A" w:rsidRDefault="003E706A" w:rsidP="005D263F">
      <w:pPr>
        <w:spacing w:after="0"/>
        <w:jc w:val="both"/>
        <w:rPr>
          <w:b/>
          <w:bCs/>
        </w:rPr>
      </w:pPr>
      <w:r w:rsidRPr="00D3207A">
        <w:rPr>
          <w:b/>
          <w:bCs/>
        </w:rPr>
        <w:t>Guideline 69 – Methods to calculate provisions for outstanding reported claims</w:t>
      </w:r>
    </w:p>
    <w:p w14:paraId="2A6D62F0" w14:textId="77777777" w:rsidR="004D12BD" w:rsidRPr="00D3207A" w:rsidRDefault="004D12BD" w:rsidP="005D263F">
      <w:pPr>
        <w:spacing w:after="0"/>
        <w:jc w:val="both"/>
      </w:pPr>
    </w:p>
    <w:p w14:paraId="3EE71A49" w14:textId="4855D564" w:rsidR="003E706A" w:rsidRPr="00D3207A" w:rsidRDefault="003E706A" w:rsidP="005D263F">
      <w:pPr>
        <w:pStyle w:val="ListParagraph"/>
        <w:numPr>
          <w:ilvl w:val="0"/>
          <w:numId w:val="79"/>
        </w:numPr>
        <w:spacing w:after="0"/>
        <w:jc w:val="both"/>
      </w:pPr>
      <w:r w:rsidRPr="00D3207A">
        <w:t xml:space="preserve">Insurance and reinsurance undertakings should not include the incurred but not reported </w:t>
      </w:r>
      <w:r w:rsidR="004D12BD">
        <w:t xml:space="preserve">provision </w:t>
      </w:r>
      <w:r w:rsidRPr="00D3207A">
        <w:t xml:space="preserve">(IBNR) and should not include </w:t>
      </w:r>
      <w:r w:rsidR="004D12BD">
        <w:t xml:space="preserve">future </w:t>
      </w:r>
      <w:r w:rsidRPr="00D3207A">
        <w:t>unallocated loss adjustment expenses (ULAE) in the calculation of the outstanding reported claims provision, which represent the component of the claims provision where events giving rise to the claim have been notified to the insurer.</w:t>
      </w:r>
    </w:p>
    <w:p w14:paraId="68D7249D" w14:textId="77777777" w:rsidR="007C2328" w:rsidRPr="00D3207A" w:rsidRDefault="007C2328" w:rsidP="005D263F">
      <w:pPr>
        <w:spacing w:after="0"/>
        <w:jc w:val="both"/>
      </w:pPr>
    </w:p>
    <w:p w14:paraId="640CB3D3" w14:textId="5FD4F275" w:rsidR="003E706A" w:rsidRPr="00D3207A" w:rsidRDefault="003E706A" w:rsidP="005D263F">
      <w:pPr>
        <w:pStyle w:val="ListParagraph"/>
        <w:numPr>
          <w:ilvl w:val="0"/>
          <w:numId w:val="79"/>
        </w:numPr>
        <w:spacing w:after="0"/>
        <w:jc w:val="both"/>
      </w:pPr>
      <w:r w:rsidRPr="00D3207A">
        <w:t>Two possible methods to estimate the provision for outstanding reported claims are:</w:t>
      </w:r>
    </w:p>
    <w:p w14:paraId="565B7ED1" w14:textId="4E6CF59C" w:rsidR="003E706A" w:rsidRPr="00D3207A" w:rsidRDefault="003E706A" w:rsidP="00BA6A92">
      <w:pPr>
        <w:spacing w:after="0"/>
        <w:ind w:left="1134" w:hanging="283"/>
        <w:jc w:val="both"/>
      </w:pPr>
      <w:r w:rsidRPr="00D3207A">
        <w:t>-</w:t>
      </w:r>
      <w:r w:rsidR="00BA6A92">
        <w:tab/>
      </w:r>
      <w:r w:rsidRPr="00D3207A">
        <w:t>consideration of the number of claims reported and their average cost</w:t>
      </w:r>
      <w:r w:rsidR="004D12BD">
        <w:t>;</w:t>
      </w:r>
    </w:p>
    <w:p w14:paraId="0F1CF79D" w14:textId="2A18E252" w:rsidR="003E706A" w:rsidRPr="00D3207A" w:rsidRDefault="003E706A" w:rsidP="00BA6A92">
      <w:pPr>
        <w:spacing w:after="0"/>
        <w:ind w:left="1134" w:hanging="283"/>
        <w:jc w:val="both"/>
      </w:pPr>
      <w:r w:rsidRPr="00D3207A">
        <w:t>-</w:t>
      </w:r>
      <w:r w:rsidR="00BA6A92">
        <w:tab/>
      </w:r>
      <w:r w:rsidRPr="00D3207A">
        <w:t>case-by-case estimation.</w:t>
      </w:r>
    </w:p>
    <w:p w14:paraId="60C29FEF" w14:textId="77777777" w:rsidR="007C2328" w:rsidRPr="00D3207A" w:rsidRDefault="007C2328" w:rsidP="005D263F">
      <w:pPr>
        <w:spacing w:after="0"/>
        <w:jc w:val="both"/>
      </w:pPr>
    </w:p>
    <w:p w14:paraId="346B843F" w14:textId="27B7BBC1" w:rsidR="003E706A" w:rsidRPr="00D3207A" w:rsidRDefault="003E706A" w:rsidP="005D263F">
      <w:pPr>
        <w:spacing w:after="0"/>
        <w:jc w:val="both"/>
        <w:rPr>
          <w:b/>
          <w:bCs/>
        </w:rPr>
      </w:pPr>
      <w:r w:rsidRPr="00D3207A">
        <w:rPr>
          <w:b/>
          <w:bCs/>
        </w:rPr>
        <w:t>Guideline 70 – Methods to calculate provisions for incurred but not reported claims</w:t>
      </w:r>
    </w:p>
    <w:p w14:paraId="6A2C1EDE" w14:textId="77777777" w:rsidR="007C2328" w:rsidRPr="00D3207A" w:rsidRDefault="007C2328" w:rsidP="005D263F">
      <w:pPr>
        <w:spacing w:after="0"/>
        <w:jc w:val="both"/>
        <w:rPr>
          <w:b/>
          <w:bCs/>
        </w:rPr>
      </w:pPr>
    </w:p>
    <w:p w14:paraId="753C706E" w14:textId="29B1F053" w:rsidR="003E706A" w:rsidRPr="00D3207A" w:rsidRDefault="003E706A" w:rsidP="005D263F">
      <w:pPr>
        <w:pStyle w:val="ListParagraph"/>
        <w:spacing w:after="0"/>
        <w:jc w:val="both"/>
      </w:pPr>
      <w:r w:rsidRPr="00D3207A">
        <w:t>Where actuarial techniques (e.g. chain ladder techniques) are used to estimate incurred but not reported provision (IBNR), insurance and reinsurance undertakings should pay a specific consideration to whether the assumptions behind the technique hold, or</w:t>
      </w:r>
      <w:r w:rsidR="006E03C3" w:rsidRPr="00D3207A">
        <w:t xml:space="preserve"> </w:t>
      </w:r>
      <w:r w:rsidRPr="00D3207A">
        <w:t>whether</w:t>
      </w:r>
      <w:r w:rsidR="006E03C3" w:rsidRPr="00D3207A">
        <w:t xml:space="preserve"> </w:t>
      </w:r>
      <w:r w:rsidRPr="00D3207A">
        <w:t>adjustments</w:t>
      </w:r>
      <w:r w:rsidR="006E03C3" w:rsidRPr="00D3207A">
        <w:t xml:space="preserve"> </w:t>
      </w:r>
      <w:r w:rsidRPr="00D3207A">
        <w:t>to</w:t>
      </w:r>
      <w:r w:rsidR="006E03C3" w:rsidRPr="00D3207A">
        <w:t xml:space="preserve"> </w:t>
      </w:r>
      <w:r w:rsidRPr="00D3207A">
        <w:t>development</w:t>
      </w:r>
      <w:r w:rsidR="006E03C3" w:rsidRPr="00D3207A">
        <w:t xml:space="preserve"> </w:t>
      </w:r>
      <w:r w:rsidRPr="00D3207A">
        <w:t>patterns are required to appropriately reflect the likely future development</w:t>
      </w:r>
      <w:r w:rsidR="004D12BD">
        <w:t>.</w:t>
      </w:r>
    </w:p>
    <w:p w14:paraId="5CDC7FDC" w14:textId="77777777" w:rsidR="007C2328" w:rsidRPr="00D3207A" w:rsidRDefault="007C2328" w:rsidP="005D263F">
      <w:pPr>
        <w:spacing w:after="0"/>
        <w:jc w:val="both"/>
      </w:pPr>
    </w:p>
    <w:p w14:paraId="10AE3513" w14:textId="01B5B24F" w:rsidR="003E706A" w:rsidRPr="00D3207A" w:rsidRDefault="003E706A" w:rsidP="005D263F">
      <w:pPr>
        <w:spacing w:after="0"/>
        <w:jc w:val="both"/>
        <w:rPr>
          <w:b/>
          <w:bCs/>
        </w:rPr>
      </w:pPr>
      <w:r w:rsidRPr="00D3207A">
        <w:rPr>
          <w:b/>
          <w:bCs/>
        </w:rPr>
        <w:t>Guideline 71</w:t>
      </w:r>
      <w:r w:rsidR="006E03C3" w:rsidRPr="00D3207A">
        <w:rPr>
          <w:b/>
          <w:bCs/>
        </w:rPr>
        <w:t xml:space="preserve"> </w:t>
      </w:r>
      <w:r w:rsidRPr="00D3207A">
        <w:rPr>
          <w:b/>
          <w:bCs/>
        </w:rPr>
        <w:t>–</w:t>
      </w:r>
      <w:r w:rsidR="006E03C3" w:rsidRPr="00D3207A">
        <w:rPr>
          <w:b/>
          <w:bCs/>
        </w:rPr>
        <w:t xml:space="preserve"> </w:t>
      </w:r>
      <w:r w:rsidRPr="00D3207A">
        <w:rPr>
          <w:b/>
          <w:bCs/>
        </w:rPr>
        <w:t>Methods</w:t>
      </w:r>
      <w:r w:rsidR="006E03C3" w:rsidRPr="00D3207A">
        <w:rPr>
          <w:b/>
          <w:bCs/>
        </w:rPr>
        <w:t xml:space="preserve"> </w:t>
      </w:r>
      <w:r w:rsidRPr="00D3207A">
        <w:rPr>
          <w:b/>
          <w:bCs/>
        </w:rPr>
        <w:t>for</w:t>
      </w:r>
      <w:r w:rsidR="006E03C3" w:rsidRPr="00D3207A">
        <w:rPr>
          <w:b/>
          <w:bCs/>
        </w:rPr>
        <w:t xml:space="preserve"> </w:t>
      </w:r>
      <w:r w:rsidRPr="00D3207A">
        <w:rPr>
          <w:b/>
          <w:bCs/>
        </w:rPr>
        <w:t>the</w:t>
      </w:r>
      <w:r w:rsidR="006E03C3" w:rsidRPr="00D3207A">
        <w:rPr>
          <w:b/>
          <w:bCs/>
        </w:rPr>
        <w:t xml:space="preserve"> </w:t>
      </w:r>
      <w:r w:rsidRPr="00D3207A">
        <w:rPr>
          <w:b/>
          <w:bCs/>
        </w:rPr>
        <w:t>valuation</w:t>
      </w:r>
      <w:r w:rsidR="006E03C3" w:rsidRPr="00D3207A">
        <w:rPr>
          <w:b/>
          <w:bCs/>
        </w:rPr>
        <w:t xml:space="preserve"> </w:t>
      </w:r>
      <w:r w:rsidRPr="00D3207A">
        <w:rPr>
          <w:b/>
          <w:bCs/>
        </w:rPr>
        <w:t>of</w:t>
      </w:r>
      <w:r w:rsidR="006E03C3" w:rsidRPr="00D3207A">
        <w:rPr>
          <w:b/>
          <w:bCs/>
        </w:rPr>
        <w:t xml:space="preserve"> </w:t>
      </w:r>
      <w:r w:rsidRPr="00D3207A">
        <w:rPr>
          <w:b/>
          <w:bCs/>
        </w:rPr>
        <w:t>claims</w:t>
      </w:r>
      <w:r w:rsidR="006E03C3" w:rsidRPr="00D3207A">
        <w:rPr>
          <w:b/>
          <w:bCs/>
        </w:rPr>
        <w:t xml:space="preserve"> </w:t>
      </w:r>
      <w:r w:rsidRPr="00D3207A">
        <w:rPr>
          <w:b/>
          <w:bCs/>
        </w:rPr>
        <w:t>settlement</w:t>
      </w:r>
      <w:r w:rsidR="006E03C3" w:rsidRPr="00D3207A">
        <w:rPr>
          <w:b/>
          <w:bCs/>
        </w:rPr>
        <w:t xml:space="preserve"> </w:t>
      </w:r>
      <w:r w:rsidRPr="00D3207A">
        <w:rPr>
          <w:b/>
          <w:bCs/>
        </w:rPr>
        <w:t xml:space="preserve">expenses – unallocated </w:t>
      </w:r>
      <w:r w:rsidR="004D12BD">
        <w:rPr>
          <w:b/>
          <w:bCs/>
        </w:rPr>
        <w:t xml:space="preserve">loss adjustment </w:t>
      </w:r>
      <w:r w:rsidRPr="00D3207A">
        <w:rPr>
          <w:b/>
          <w:bCs/>
        </w:rPr>
        <w:t>expenses (ULAE)</w:t>
      </w:r>
    </w:p>
    <w:p w14:paraId="7273BC86" w14:textId="77777777" w:rsidR="007C2328" w:rsidRPr="00D3207A" w:rsidRDefault="007C2328" w:rsidP="005D263F">
      <w:pPr>
        <w:spacing w:after="0"/>
        <w:jc w:val="both"/>
        <w:rPr>
          <w:b/>
          <w:bCs/>
        </w:rPr>
      </w:pPr>
    </w:p>
    <w:p w14:paraId="1755287F" w14:textId="3396CB29" w:rsidR="003E706A" w:rsidRPr="00D3207A" w:rsidRDefault="003E706A" w:rsidP="005D263F">
      <w:pPr>
        <w:pStyle w:val="ListParagraph"/>
        <w:spacing w:after="0"/>
        <w:jc w:val="both"/>
      </w:pPr>
      <w:r w:rsidRPr="00D3207A">
        <w:t xml:space="preserve">When insurance and reinsurance undertakings apply a simplified method for the provision for claims settlement expenses based on an estimate as a percentage of the claims provision, as outlined in Technical Annex II, this should only be </w:t>
      </w:r>
      <w:r w:rsidR="008C62B0">
        <w:t>considered</w:t>
      </w:r>
      <w:r w:rsidRPr="00D3207A">
        <w:t xml:space="preserve"> when expenses can reasonably be assumed to be proportionate to provisions as a whole, where this proportion is stable in time and where the expenses distribute uniformly over the lifetime of the claims portfolio</w:t>
      </w:r>
      <w:r w:rsidR="006E03C3" w:rsidRPr="00D3207A">
        <w:t xml:space="preserve"> </w:t>
      </w:r>
      <w:r w:rsidRPr="00D3207A">
        <w:t>as a whole.</w:t>
      </w:r>
    </w:p>
    <w:p w14:paraId="41FB436D" w14:textId="77777777" w:rsidR="007C2328" w:rsidRPr="00D3207A" w:rsidRDefault="007C2328" w:rsidP="005D263F">
      <w:pPr>
        <w:spacing w:after="0"/>
        <w:jc w:val="both"/>
      </w:pPr>
    </w:p>
    <w:p w14:paraId="38FF4363" w14:textId="3638D072" w:rsidR="003E706A" w:rsidRPr="00D3207A" w:rsidRDefault="003E706A" w:rsidP="005D263F">
      <w:pPr>
        <w:spacing w:after="0"/>
        <w:jc w:val="both"/>
        <w:rPr>
          <w:b/>
          <w:bCs/>
        </w:rPr>
      </w:pPr>
      <w:r w:rsidRPr="00D3207A">
        <w:rPr>
          <w:b/>
          <w:bCs/>
        </w:rPr>
        <w:t xml:space="preserve">Calculation of </w:t>
      </w:r>
      <w:r w:rsidR="004D12BD">
        <w:rPr>
          <w:b/>
          <w:bCs/>
        </w:rPr>
        <w:t>premium</w:t>
      </w:r>
      <w:r w:rsidRPr="00D3207A">
        <w:rPr>
          <w:b/>
          <w:bCs/>
        </w:rPr>
        <w:t xml:space="preserve"> provisions</w:t>
      </w:r>
    </w:p>
    <w:p w14:paraId="61FFA53E" w14:textId="77777777" w:rsidR="004D12BD" w:rsidRDefault="004D12BD" w:rsidP="005D263F">
      <w:pPr>
        <w:spacing w:after="0"/>
        <w:jc w:val="both"/>
        <w:rPr>
          <w:b/>
          <w:bCs/>
        </w:rPr>
      </w:pPr>
    </w:p>
    <w:p w14:paraId="33C91019" w14:textId="059937D5" w:rsidR="003E706A" w:rsidRPr="00D3207A" w:rsidRDefault="003E706A" w:rsidP="005D263F">
      <w:pPr>
        <w:spacing w:after="0"/>
        <w:jc w:val="both"/>
        <w:rPr>
          <w:b/>
          <w:bCs/>
        </w:rPr>
      </w:pPr>
      <w:r w:rsidRPr="00D3207A">
        <w:rPr>
          <w:b/>
          <w:bCs/>
        </w:rPr>
        <w:t>Guideline 72 – Cover</w:t>
      </w:r>
    </w:p>
    <w:p w14:paraId="6D8A3DC2" w14:textId="77777777" w:rsidR="007C2328" w:rsidRPr="00D3207A" w:rsidRDefault="007C2328" w:rsidP="005D263F">
      <w:pPr>
        <w:spacing w:after="0"/>
        <w:jc w:val="both"/>
        <w:rPr>
          <w:b/>
          <w:bCs/>
        </w:rPr>
      </w:pPr>
    </w:p>
    <w:p w14:paraId="0FD810A3" w14:textId="1705F813" w:rsidR="003E706A" w:rsidRPr="00D3207A" w:rsidRDefault="003E706A" w:rsidP="005D263F">
      <w:pPr>
        <w:pStyle w:val="ListParagraph"/>
        <w:numPr>
          <w:ilvl w:val="0"/>
          <w:numId w:val="82"/>
        </w:numPr>
        <w:spacing w:after="0"/>
        <w:jc w:val="both"/>
      </w:pPr>
      <w:r w:rsidRPr="00D3207A">
        <w:t>Insurance and reinsurance undertakings should ensure that premium provisions at the valuation date include the valuation of all recognised obligations within the boundaries of insurance or reinsurance contracts, for all exposure to future claims events, where:</w:t>
      </w:r>
    </w:p>
    <w:p w14:paraId="6F02F21D" w14:textId="022ADB6B" w:rsidR="003E706A" w:rsidRPr="00D3207A" w:rsidRDefault="003E706A" w:rsidP="005C3A52">
      <w:pPr>
        <w:pStyle w:val="ListParagraph"/>
        <w:spacing w:after="0"/>
        <w:ind w:left="993" w:hanging="284"/>
        <w:jc w:val="both"/>
      </w:pPr>
      <w:r w:rsidRPr="00D3207A">
        <w:t>a)</w:t>
      </w:r>
      <w:r w:rsidR="005C3A52">
        <w:tab/>
        <w:t>c</w:t>
      </w:r>
      <w:r w:rsidRPr="00D3207A">
        <w:t>over has incepted prior to the valuation date</w:t>
      </w:r>
      <w:r w:rsidR="005C3A52">
        <w:t>;</w:t>
      </w:r>
    </w:p>
    <w:p w14:paraId="631F10D8" w14:textId="348B1172" w:rsidR="003E706A" w:rsidRPr="00D3207A" w:rsidRDefault="003E706A" w:rsidP="005C3A52">
      <w:pPr>
        <w:pStyle w:val="ListParagraph"/>
        <w:spacing w:after="0"/>
        <w:ind w:left="993" w:hanging="284"/>
        <w:jc w:val="both"/>
      </w:pPr>
      <w:r w:rsidRPr="00D3207A">
        <w:t>b)</w:t>
      </w:r>
      <w:r w:rsidR="005C3A52">
        <w:tab/>
      </w:r>
      <w:r w:rsidRPr="00D3207A">
        <w:t>cover</w:t>
      </w:r>
      <w:r w:rsidR="006E03C3" w:rsidRPr="00D3207A">
        <w:t xml:space="preserve"> </w:t>
      </w:r>
      <w:r w:rsidRPr="00D3207A">
        <w:t>has</w:t>
      </w:r>
      <w:r w:rsidR="006E03C3" w:rsidRPr="00D3207A">
        <w:t xml:space="preserve"> </w:t>
      </w:r>
      <w:r w:rsidRPr="00D3207A">
        <w:t>not</w:t>
      </w:r>
      <w:r w:rsidR="006E03C3" w:rsidRPr="00D3207A">
        <w:t xml:space="preserve"> </w:t>
      </w:r>
      <w:r w:rsidRPr="00D3207A">
        <w:t>incepted</w:t>
      </w:r>
      <w:r w:rsidR="006E03C3" w:rsidRPr="00D3207A">
        <w:t xml:space="preserve"> </w:t>
      </w:r>
      <w:r w:rsidRPr="00D3207A">
        <w:t>prior</w:t>
      </w:r>
      <w:r w:rsidR="006E03C3" w:rsidRPr="00D3207A">
        <w:t xml:space="preserve"> </w:t>
      </w:r>
      <w:r w:rsidRPr="00D3207A">
        <w:t>to</w:t>
      </w:r>
      <w:r w:rsidR="006E03C3" w:rsidRPr="00D3207A">
        <w:t xml:space="preserve"> </w:t>
      </w:r>
      <w:r w:rsidRPr="00D3207A">
        <w:t>the</w:t>
      </w:r>
      <w:r w:rsidR="006E03C3" w:rsidRPr="00D3207A">
        <w:t xml:space="preserve"> </w:t>
      </w:r>
      <w:r w:rsidRPr="00D3207A">
        <w:t>valuation</w:t>
      </w:r>
      <w:r w:rsidR="006E03C3" w:rsidRPr="00D3207A">
        <w:t xml:space="preserve"> </w:t>
      </w:r>
      <w:r w:rsidRPr="00D3207A">
        <w:t>date,</w:t>
      </w:r>
      <w:r w:rsidR="006E03C3" w:rsidRPr="00D3207A">
        <w:t xml:space="preserve"> </w:t>
      </w:r>
      <w:r w:rsidRPr="00D3207A">
        <w:t>but</w:t>
      </w:r>
      <w:r w:rsidR="006E03C3" w:rsidRPr="00D3207A">
        <w:t xml:space="preserve"> </w:t>
      </w:r>
      <w:r w:rsidRPr="00D3207A">
        <w:t>the</w:t>
      </w:r>
      <w:r w:rsidR="006E03C3" w:rsidRPr="00D3207A">
        <w:t xml:space="preserve"> </w:t>
      </w:r>
      <w:r w:rsidRPr="00D3207A">
        <w:t>insurance or reinsurance undertaking has become party to the insurance or reinsurance contract providing the cover.</w:t>
      </w:r>
    </w:p>
    <w:p w14:paraId="19320F45" w14:textId="77777777" w:rsidR="007C2328" w:rsidRPr="00D3207A" w:rsidRDefault="007C2328" w:rsidP="005D263F">
      <w:pPr>
        <w:spacing w:after="0"/>
        <w:jc w:val="both"/>
      </w:pPr>
    </w:p>
    <w:p w14:paraId="38080C4B" w14:textId="42650EA5" w:rsidR="003E706A" w:rsidRPr="00D3207A" w:rsidRDefault="003E706A" w:rsidP="005D263F">
      <w:pPr>
        <w:pStyle w:val="ListParagraph"/>
        <w:numPr>
          <w:ilvl w:val="0"/>
          <w:numId w:val="82"/>
        </w:numPr>
        <w:spacing w:after="0"/>
        <w:jc w:val="both"/>
      </w:pPr>
      <w:r w:rsidRPr="00D3207A">
        <w:lastRenderedPageBreak/>
        <w:t xml:space="preserve">Without prejudice to the Proportionality Assessment and the provisions in Article 36(2) of </w:t>
      </w:r>
      <w:r w:rsidR="005C3A52">
        <w:t>the</w:t>
      </w:r>
      <w:r w:rsidRPr="00D3207A">
        <w:t xml:space="preserve"> Delegated Regulation, undertakings may apply the simplification outlined in Technical Annex III.</w:t>
      </w:r>
    </w:p>
    <w:p w14:paraId="448E5AB1" w14:textId="77777777" w:rsidR="00A973A9" w:rsidRPr="00D3207A" w:rsidRDefault="00A973A9" w:rsidP="005D263F">
      <w:pPr>
        <w:spacing w:after="0"/>
        <w:jc w:val="both"/>
      </w:pPr>
    </w:p>
    <w:p w14:paraId="27CC73D6" w14:textId="35BA1F3E" w:rsidR="003E706A" w:rsidRPr="00D3207A" w:rsidRDefault="003E706A" w:rsidP="005D263F">
      <w:pPr>
        <w:spacing w:after="0"/>
        <w:jc w:val="both"/>
        <w:rPr>
          <w:b/>
          <w:bCs/>
        </w:rPr>
      </w:pPr>
      <w:r w:rsidRPr="00D3207A">
        <w:rPr>
          <w:b/>
          <w:bCs/>
        </w:rPr>
        <w:t xml:space="preserve">Guideline 73 </w:t>
      </w:r>
      <w:r w:rsidR="00BA6A92">
        <w:rPr>
          <w:b/>
          <w:bCs/>
        </w:rPr>
        <w:t>–</w:t>
      </w:r>
      <w:r w:rsidRPr="00D3207A">
        <w:rPr>
          <w:b/>
          <w:bCs/>
        </w:rPr>
        <w:t xml:space="preserve"> Considerations for claims costs projections</w:t>
      </w:r>
    </w:p>
    <w:p w14:paraId="00964C39" w14:textId="77777777" w:rsidR="007C2328" w:rsidRPr="00D3207A" w:rsidRDefault="007C2328" w:rsidP="005D263F">
      <w:pPr>
        <w:spacing w:after="0"/>
        <w:jc w:val="both"/>
        <w:rPr>
          <w:b/>
          <w:bCs/>
        </w:rPr>
      </w:pPr>
    </w:p>
    <w:p w14:paraId="7D19456F" w14:textId="463B2EDF" w:rsidR="003E706A" w:rsidRPr="00D3207A" w:rsidRDefault="003E706A" w:rsidP="005D263F">
      <w:pPr>
        <w:pStyle w:val="ListParagraph"/>
        <w:spacing w:after="0"/>
        <w:jc w:val="both"/>
      </w:pPr>
      <w:r w:rsidRPr="00D3207A">
        <w:t>Insurance and reinsurance undertakings should ensure that the assessment of the claims cash-flows included in the premium provisions give appropriate consideration to the expected incidence and cost of future claims, including consideration of the likelihood of infrequent, high severity claims and latent</w:t>
      </w:r>
      <w:r w:rsidR="006E03C3" w:rsidRPr="00D3207A">
        <w:t xml:space="preserve"> </w:t>
      </w:r>
      <w:r w:rsidRPr="00D3207A">
        <w:t>claims.</w:t>
      </w:r>
    </w:p>
    <w:p w14:paraId="7F47FB54" w14:textId="77777777" w:rsidR="007C2328" w:rsidRPr="00D3207A" w:rsidRDefault="007C2328" w:rsidP="005D263F">
      <w:pPr>
        <w:spacing w:after="0"/>
        <w:jc w:val="both"/>
      </w:pPr>
    </w:p>
    <w:p w14:paraId="4D89A6F0" w14:textId="3C4278F5" w:rsidR="003E706A" w:rsidRPr="00D3207A" w:rsidRDefault="003E706A" w:rsidP="005D263F">
      <w:pPr>
        <w:spacing w:after="0"/>
        <w:jc w:val="both"/>
        <w:rPr>
          <w:b/>
          <w:bCs/>
        </w:rPr>
      </w:pPr>
      <w:r w:rsidRPr="00D3207A">
        <w:rPr>
          <w:b/>
          <w:bCs/>
        </w:rPr>
        <w:t xml:space="preserve">Guideline 74 </w:t>
      </w:r>
      <w:r w:rsidR="005C3A52">
        <w:rPr>
          <w:b/>
          <w:bCs/>
        </w:rPr>
        <w:t>–</w:t>
      </w:r>
      <w:r w:rsidRPr="00D3207A">
        <w:rPr>
          <w:b/>
          <w:bCs/>
        </w:rPr>
        <w:t xml:space="preserve"> Uncertainty of policyholder behaviour</w:t>
      </w:r>
    </w:p>
    <w:p w14:paraId="19FAE50A" w14:textId="77777777" w:rsidR="007C2328" w:rsidRPr="00D3207A" w:rsidRDefault="007C2328" w:rsidP="005D263F">
      <w:pPr>
        <w:spacing w:after="0"/>
        <w:jc w:val="both"/>
        <w:rPr>
          <w:b/>
          <w:bCs/>
        </w:rPr>
      </w:pPr>
    </w:p>
    <w:p w14:paraId="5B1A2B1F" w14:textId="0E64C28C" w:rsidR="003E706A" w:rsidRPr="00D3207A" w:rsidRDefault="003E706A" w:rsidP="005D263F">
      <w:pPr>
        <w:spacing w:after="0"/>
        <w:ind w:left="708"/>
        <w:jc w:val="both"/>
      </w:pPr>
      <w:r w:rsidRPr="00D3207A">
        <w:t>Insurance and reinsurance undertakings should ensure that the valuation of premium provisions includes an allowance for the possibility that policyholders will</w:t>
      </w:r>
      <w:r w:rsidR="006E03C3" w:rsidRPr="00D3207A">
        <w:t xml:space="preserve"> </w:t>
      </w:r>
      <w:r w:rsidRPr="00D3207A">
        <w:t>exercise</w:t>
      </w:r>
      <w:r w:rsidR="006E03C3" w:rsidRPr="00D3207A">
        <w:t xml:space="preserve"> </w:t>
      </w:r>
      <w:r w:rsidRPr="00D3207A">
        <w:t>options</w:t>
      </w:r>
      <w:r w:rsidR="006E03C3" w:rsidRPr="00D3207A">
        <w:t xml:space="preserve"> </w:t>
      </w:r>
      <w:r w:rsidRPr="00D3207A">
        <w:t>to</w:t>
      </w:r>
      <w:r w:rsidR="006E03C3" w:rsidRPr="00D3207A">
        <w:t xml:space="preserve"> </w:t>
      </w:r>
      <w:r w:rsidRPr="00D3207A">
        <w:t>extend</w:t>
      </w:r>
      <w:r w:rsidR="006E03C3" w:rsidRPr="00D3207A">
        <w:t xml:space="preserve"> </w:t>
      </w:r>
      <w:r w:rsidRPr="00D3207A">
        <w:t>or</w:t>
      </w:r>
      <w:r w:rsidR="006E03C3" w:rsidRPr="00D3207A">
        <w:t xml:space="preserve"> </w:t>
      </w:r>
      <w:r w:rsidRPr="00D3207A">
        <w:t>renew</w:t>
      </w:r>
      <w:r w:rsidR="006E03C3" w:rsidRPr="00D3207A">
        <w:t xml:space="preserve"> </w:t>
      </w:r>
      <w:r w:rsidRPr="00D3207A">
        <w:t>a</w:t>
      </w:r>
      <w:r w:rsidR="006E03C3" w:rsidRPr="00D3207A">
        <w:t xml:space="preserve"> </w:t>
      </w:r>
      <w:r w:rsidRPr="00D3207A">
        <w:t>contract</w:t>
      </w:r>
      <w:r w:rsidR="006E03C3" w:rsidRPr="00D3207A">
        <w:t xml:space="preserve"> </w:t>
      </w:r>
      <w:r w:rsidRPr="00D3207A">
        <w:t>or</w:t>
      </w:r>
      <w:r w:rsidR="006E03C3" w:rsidRPr="00D3207A">
        <w:t xml:space="preserve"> </w:t>
      </w:r>
      <w:r w:rsidRPr="00D3207A">
        <w:t>to</w:t>
      </w:r>
      <w:r w:rsidR="006E03C3" w:rsidRPr="00D3207A">
        <w:t xml:space="preserve"> </w:t>
      </w:r>
      <w:r w:rsidRPr="00D3207A">
        <w:t>cancel</w:t>
      </w:r>
      <w:r w:rsidR="006E03C3" w:rsidRPr="00D3207A">
        <w:t xml:space="preserve"> </w:t>
      </w:r>
      <w:r w:rsidRPr="00D3207A">
        <w:t>or</w:t>
      </w:r>
      <w:r w:rsidR="006E03C3" w:rsidRPr="00D3207A">
        <w:t xml:space="preserve"> </w:t>
      </w:r>
      <w:r w:rsidRPr="00D3207A">
        <w:t>lapse a contract prior to the end of the cover term provided.</w:t>
      </w:r>
    </w:p>
    <w:p w14:paraId="0E77B824" w14:textId="77777777" w:rsidR="007C2328" w:rsidRPr="00D3207A" w:rsidRDefault="007C2328" w:rsidP="005D263F">
      <w:pPr>
        <w:spacing w:after="0"/>
        <w:jc w:val="both"/>
      </w:pPr>
    </w:p>
    <w:p w14:paraId="7C0E6962" w14:textId="21DFFAAC" w:rsidR="003E706A" w:rsidRPr="00D3207A" w:rsidRDefault="003E706A" w:rsidP="005D263F">
      <w:pPr>
        <w:spacing w:after="0"/>
        <w:jc w:val="both"/>
        <w:rPr>
          <w:b/>
          <w:bCs/>
        </w:rPr>
      </w:pPr>
      <w:r w:rsidRPr="00D3207A">
        <w:rPr>
          <w:b/>
          <w:bCs/>
        </w:rPr>
        <w:t>Guideline 75 – Negative premium provision</w:t>
      </w:r>
    </w:p>
    <w:p w14:paraId="28A057CD" w14:textId="77777777" w:rsidR="007C2328" w:rsidRPr="00D3207A" w:rsidRDefault="007C2328" w:rsidP="005D263F">
      <w:pPr>
        <w:spacing w:after="0"/>
        <w:jc w:val="both"/>
        <w:rPr>
          <w:b/>
          <w:bCs/>
        </w:rPr>
      </w:pPr>
    </w:p>
    <w:p w14:paraId="511EDF8B" w14:textId="7A020CCD" w:rsidR="003E706A" w:rsidRPr="00D3207A" w:rsidRDefault="001A3595" w:rsidP="005D263F">
      <w:pPr>
        <w:pStyle w:val="ListParagraph"/>
        <w:spacing w:after="0"/>
        <w:jc w:val="both"/>
      </w:pPr>
      <w:r>
        <w:t>If</w:t>
      </w:r>
      <w:r w:rsidR="00043ED5" w:rsidRPr="00D3207A">
        <w:t xml:space="preserve"> the present value of future cash in-flows exceeds the present value of future cash out</w:t>
      </w:r>
      <w:r w:rsidR="00721954">
        <w:t>-</w:t>
      </w:r>
      <w:r w:rsidR="00043ED5" w:rsidRPr="00D3207A">
        <w:t>flows</w:t>
      </w:r>
      <w:r>
        <w:t>,</w:t>
      </w:r>
      <w:r w:rsidR="00043ED5" w:rsidRPr="00D3207A">
        <w:t xml:space="preserve"> the premium provision, excluding risk margin, is negative.</w:t>
      </w:r>
    </w:p>
    <w:p w14:paraId="5B340C82" w14:textId="77777777" w:rsidR="007C2328" w:rsidRPr="00D3207A" w:rsidRDefault="007C2328" w:rsidP="005D263F">
      <w:pPr>
        <w:spacing w:after="0"/>
        <w:jc w:val="both"/>
      </w:pPr>
    </w:p>
    <w:p w14:paraId="2872A6C6" w14:textId="6B4EEF42" w:rsidR="003E706A" w:rsidRPr="00D3207A" w:rsidRDefault="003E706A" w:rsidP="005D263F">
      <w:pPr>
        <w:spacing w:after="0"/>
        <w:jc w:val="both"/>
        <w:rPr>
          <w:b/>
          <w:bCs/>
        </w:rPr>
      </w:pPr>
      <w:r w:rsidRPr="00D3207A">
        <w:rPr>
          <w:b/>
          <w:bCs/>
        </w:rPr>
        <w:t>Calculation of Expected Profits in Future Premiums (EPIFP)</w:t>
      </w:r>
    </w:p>
    <w:p w14:paraId="0CDC1CBC" w14:textId="77777777" w:rsidR="007C2328" w:rsidRPr="00D3207A" w:rsidRDefault="007C2328" w:rsidP="005D263F">
      <w:pPr>
        <w:spacing w:after="0"/>
        <w:jc w:val="both"/>
        <w:rPr>
          <w:b/>
          <w:bCs/>
        </w:rPr>
      </w:pPr>
    </w:p>
    <w:p w14:paraId="5174B426" w14:textId="7446CF2C" w:rsidR="003E706A" w:rsidRPr="00D3207A" w:rsidRDefault="003E706A" w:rsidP="005D263F">
      <w:pPr>
        <w:spacing w:after="0"/>
        <w:jc w:val="both"/>
        <w:rPr>
          <w:b/>
          <w:bCs/>
        </w:rPr>
      </w:pPr>
      <w:r w:rsidRPr="00D3207A">
        <w:rPr>
          <w:b/>
          <w:bCs/>
        </w:rPr>
        <w:t xml:space="preserve">Guideline 76 </w:t>
      </w:r>
      <w:r w:rsidR="00BA6A92">
        <w:rPr>
          <w:b/>
          <w:bCs/>
        </w:rPr>
        <w:t>–</w:t>
      </w:r>
      <w:r w:rsidRPr="00D3207A">
        <w:rPr>
          <w:b/>
          <w:bCs/>
        </w:rPr>
        <w:t xml:space="preserve"> Separation of insurance obligations</w:t>
      </w:r>
    </w:p>
    <w:p w14:paraId="06484BDE" w14:textId="77777777" w:rsidR="007C2328" w:rsidRPr="00D3207A" w:rsidRDefault="007C2328" w:rsidP="005D263F">
      <w:pPr>
        <w:spacing w:after="0"/>
        <w:jc w:val="both"/>
        <w:rPr>
          <w:b/>
          <w:bCs/>
        </w:rPr>
      </w:pPr>
    </w:p>
    <w:p w14:paraId="07E66FD1" w14:textId="7B1FA01B" w:rsidR="003E706A" w:rsidRPr="00D3207A" w:rsidRDefault="003E706A" w:rsidP="005D263F">
      <w:pPr>
        <w:pStyle w:val="ListParagraph"/>
        <w:spacing w:after="0"/>
        <w:jc w:val="both"/>
      </w:pPr>
      <w:r w:rsidRPr="00D3207A">
        <w:t xml:space="preserve">For the purpose of the calculation set out in Article 260 of </w:t>
      </w:r>
      <w:r w:rsidR="001A3595">
        <w:t>the</w:t>
      </w:r>
      <w:r w:rsidRPr="00D3207A">
        <w:t xml:space="preserve"> Delegated Regulation, insurance and reinsurance undertakings should split its insurance obligations into those</w:t>
      </w:r>
      <w:r w:rsidR="006E03C3" w:rsidRPr="00D3207A">
        <w:t xml:space="preserve"> </w:t>
      </w:r>
      <w:r w:rsidRPr="00D3207A">
        <w:t>attributable</w:t>
      </w:r>
      <w:r w:rsidR="006E03C3" w:rsidRPr="00D3207A">
        <w:t xml:space="preserve"> </w:t>
      </w:r>
      <w:r w:rsidRPr="00D3207A">
        <w:t>to</w:t>
      </w:r>
      <w:r w:rsidR="006E03C3" w:rsidRPr="00D3207A">
        <w:t xml:space="preserve"> </w:t>
      </w:r>
      <w:r w:rsidRPr="00D3207A">
        <w:t>already</w:t>
      </w:r>
      <w:r w:rsidR="006E03C3" w:rsidRPr="00D3207A">
        <w:t xml:space="preserve"> </w:t>
      </w:r>
      <w:r w:rsidRPr="00D3207A">
        <w:t>paid-in</w:t>
      </w:r>
      <w:r w:rsidR="006E03C3" w:rsidRPr="00D3207A">
        <w:t xml:space="preserve"> </w:t>
      </w:r>
      <w:r w:rsidRPr="00D3207A">
        <w:t xml:space="preserve">premiums and those attributable to premiums </w:t>
      </w:r>
      <w:r w:rsidR="00D86374">
        <w:t>receivable in the future in respect of</w:t>
      </w:r>
      <w:r w:rsidRPr="00D3207A">
        <w:t xml:space="preserve"> valid contracts.</w:t>
      </w:r>
    </w:p>
    <w:p w14:paraId="7BA8396A" w14:textId="77777777" w:rsidR="007D5FA5" w:rsidRPr="00D3207A" w:rsidRDefault="007D5FA5" w:rsidP="005D263F">
      <w:pPr>
        <w:spacing w:after="0"/>
        <w:jc w:val="both"/>
      </w:pPr>
    </w:p>
    <w:p w14:paraId="2970054E" w14:textId="3E663BC5" w:rsidR="003E706A" w:rsidRPr="00D3207A" w:rsidRDefault="003E706A" w:rsidP="005D263F">
      <w:pPr>
        <w:spacing w:after="0"/>
        <w:jc w:val="both"/>
        <w:rPr>
          <w:b/>
          <w:bCs/>
        </w:rPr>
      </w:pPr>
      <w:r w:rsidRPr="00D3207A">
        <w:rPr>
          <w:b/>
          <w:bCs/>
        </w:rPr>
        <w:t>Guideline 77 – Assumptions used to calculate EPIFP</w:t>
      </w:r>
    </w:p>
    <w:p w14:paraId="3682CCDA" w14:textId="77777777" w:rsidR="007C2328" w:rsidRPr="00D3207A" w:rsidRDefault="007C2328" w:rsidP="005D263F">
      <w:pPr>
        <w:spacing w:after="0"/>
        <w:jc w:val="both"/>
        <w:rPr>
          <w:b/>
          <w:bCs/>
        </w:rPr>
      </w:pPr>
    </w:p>
    <w:p w14:paraId="748F52CF" w14:textId="7D78C9D2" w:rsidR="007D5FA5" w:rsidRPr="00D3207A" w:rsidRDefault="007D5FA5" w:rsidP="005D263F">
      <w:pPr>
        <w:pStyle w:val="ListParagraph"/>
        <w:spacing w:after="0"/>
        <w:jc w:val="both"/>
      </w:pPr>
      <w:r w:rsidRPr="00D3207A">
        <w:t>For the purpose of</w:t>
      </w:r>
      <w:r w:rsidR="006E03C3" w:rsidRPr="00D3207A">
        <w:t xml:space="preserve"> </w:t>
      </w:r>
      <w:r w:rsidRPr="00D3207A">
        <w:t>calculating</w:t>
      </w:r>
      <w:r w:rsidR="006E03C3" w:rsidRPr="00D3207A">
        <w:t xml:space="preserve"> </w:t>
      </w:r>
      <w:r w:rsidRPr="00D3207A">
        <w:t>the</w:t>
      </w:r>
      <w:r w:rsidR="006E03C3" w:rsidRPr="00D3207A">
        <w:t xml:space="preserve"> </w:t>
      </w:r>
      <w:r w:rsidRPr="00D3207A">
        <w:t>technical</w:t>
      </w:r>
      <w:r w:rsidR="006E03C3" w:rsidRPr="00D3207A">
        <w:t xml:space="preserve"> </w:t>
      </w:r>
      <w:r w:rsidRPr="00D3207A">
        <w:t>provisions</w:t>
      </w:r>
      <w:r w:rsidR="006E03C3" w:rsidRPr="00D3207A">
        <w:t xml:space="preserve"> </w:t>
      </w:r>
      <w:r w:rsidRPr="00D3207A">
        <w:t>without</w:t>
      </w:r>
      <w:r w:rsidR="006E03C3" w:rsidRPr="00D3207A">
        <w:t xml:space="preserve"> </w:t>
      </w:r>
      <w:r w:rsidRPr="00D3207A">
        <w:t>risk</w:t>
      </w:r>
      <w:r w:rsidR="006E03C3" w:rsidRPr="00D3207A">
        <w:t xml:space="preserve"> </w:t>
      </w:r>
      <w:r w:rsidRPr="00D3207A">
        <w:t>margin under</w:t>
      </w:r>
      <w:r w:rsidR="006E03C3" w:rsidRPr="00D3207A">
        <w:t xml:space="preserve"> </w:t>
      </w:r>
      <w:r w:rsidRPr="00D3207A">
        <w:t>the assumption that the premiums relating to existing insurance and reinsurance contracts that are expected to be received in</w:t>
      </w:r>
      <w:r w:rsidR="006E03C3" w:rsidRPr="00D3207A">
        <w:t xml:space="preserve"> </w:t>
      </w:r>
      <w:r w:rsidRPr="00D3207A">
        <w:t>the future are not received,</w:t>
      </w:r>
      <w:r w:rsidR="006E03C3" w:rsidRPr="00D3207A">
        <w:t xml:space="preserve"> </w:t>
      </w:r>
      <w:r w:rsidRPr="00D3207A">
        <w:t>insurance and reinsurance undertakings should apply the same actuarial method used</w:t>
      </w:r>
      <w:r w:rsidR="006E03C3" w:rsidRPr="00D3207A">
        <w:t xml:space="preserve"> </w:t>
      </w:r>
      <w:r w:rsidRPr="00D3207A">
        <w:t>to</w:t>
      </w:r>
      <w:r w:rsidR="006E03C3" w:rsidRPr="00D3207A">
        <w:t xml:space="preserve"> </w:t>
      </w:r>
      <w:r w:rsidRPr="00D3207A">
        <w:t xml:space="preserve">calculate the technical provisions without risk margin in accordance with </w:t>
      </w:r>
      <w:r w:rsidR="00D86374">
        <w:t>Section</w:t>
      </w:r>
      <w:r w:rsidRPr="00D3207A">
        <w:t xml:space="preserve"> 38 of the Insurance Act, with the following changed assumptions:</w:t>
      </w:r>
    </w:p>
    <w:p w14:paraId="20092BE9" w14:textId="764A82E5" w:rsidR="003E706A" w:rsidRPr="00D3207A" w:rsidRDefault="003E706A" w:rsidP="00D86374">
      <w:pPr>
        <w:pStyle w:val="ListParagraph"/>
        <w:numPr>
          <w:ilvl w:val="2"/>
          <w:numId w:val="42"/>
        </w:numPr>
        <w:spacing w:after="0"/>
        <w:ind w:left="993" w:hanging="284"/>
        <w:jc w:val="both"/>
      </w:pPr>
      <w:r w:rsidRPr="00D3207A">
        <w:t>policies should be treated as though they continue to be in force rather than being considered as surrendered</w:t>
      </w:r>
      <w:r w:rsidR="00D86374">
        <w:t>;</w:t>
      </w:r>
    </w:p>
    <w:p w14:paraId="0913B0EB" w14:textId="7A87092A" w:rsidR="00D04E75" w:rsidRPr="00D3207A" w:rsidRDefault="00D04E75" w:rsidP="00CE4BA1">
      <w:pPr>
        <w:pStyle w:val="ListParagraph"/>
        <w:numPr>
          <w:ilvl w:val="2"/>
          <w:numId w:val="42"/>
        </w:numPr>
        <w:spacing w:after="0"/>
        <w:ind w:left="993" w:hanging="284"/>
        <w:jc w:val="both"/>
      </w:pPr>
      <w:r w:rsidRPr="00D3207A">
        <w:t>regardless of the legal or contractual terms applicable to the contract,</w:t>
      </w:r>
      <w:r w:rsidR="006E03C3" w:rsidRPr="00D3207A">
        <w:t xml:space="preserve"> </w:t>
      </w:r>
      <w:r w:rsidRPr="00D3207A">
        <w:t>the calculation should not include penalties, reductions or any other type of adjustment to the theoretical actuarial valuation of technical provisions without a risk margin calculated as though the policy</w:t>
      </w:r>
      <w:r w:rsidR="006E03C3" w:rsidRPr="00D3207A">
        <w:t xml:space="preserve"> </w:t>
      </w:r>
      <w:r w:rsidRPr="00D3207A">
        <w:t>continued</w:t>
      </w:r>
      <w:r w:rsidR="006E03C3" w:rsidRPr="00D3207A">
        <w:t xml:space="preserve"> </w:t>
      </w:r>
      <w:r w:rsidRPr="00D3207A">
        <w:t>to</w:t>
      </w:r>
      <w:r w:rsidR="006E03C3" w:rsidRPr="00D3207A">
        <w:t xml:space="preserve"> </w:t>
      </w:r>
      <w:r w:rsidRPr="00D3207A">
        <w:t>be</w:t>
      </w:r>
      <w:r w:rsidR="006E03C3" w:rsidRPr="00D3207A">
        <w:t xml:space="preserve"> </w:t>
      </w:r>
      <w:r w:rsidRPr="00D3207A">
        <w:t>in force.</w:t>
      </w:r>
    </w:p>
    <w:p w14:paraId="2A0E770D" w14:textId="77777777" w:rsidR="00D27F75" w:rsidRPr="00D3207A" w:rsidRDefault="00D27F75" w:rsidP="005D263F">
      <w:pPr>
        <w:spacing w:after="0"/>
        <w:jc w:val="both"/>
      </w:pPr>
    </w:p>
    <w:p w14:paraId="4A178F15" w14:textId="705B1BBB" w:rsidR="003E706A" w:rsidRPr="00D3207A" w:rsidRDefault="00C136DD" w:rsidP="00BA6A92">
      <w:pPr>
        <w:spacing w:after="0"/>
        <w:ind w:left="709"/>
        <w:jc w:val="both"/>
      </w:pPr>
      <w:r w:rsidRPr="00D3207A">
        <w:lastRenderedPageBreak/>
        <w:t xml:space="preserve">All </w:t>
      </w:r>
      <w:r w:rsidR="00D86374">
        <w:t xml:space="preserve">the </w:t>
      </w:r>
      <w:r w:rsidRPr="00D3207A">
        <w:t>other assumptions (e.g. mortality, lapses or expenses) should remain unchanged. This means that the insurance and reinsurance undertakings should apply the same projection horizon, future management actions and policyholder option exercise rates used in best estimate calculation without adjusting them to consider that future premiums will not be received. Even if all assumptions on expenses should remain constant, the level of some expenses (e.g. acquisition expenses or investment management expenses) could be indirectly affected.</w:t>
      </w:r>
    </w:p>
    <w:p w14:paraId="28324C08" w14:textId="5D3B8CF8" w:rsidR="00301445" w:rsidRPr="00D3207A" w:rsidRDefault="00301445" w:rsidP="005D263F">
      <w:pPr>
        <w:spacing w:after="0"/>
        <w:jc w:val="both"/>
      </w:pPr>
    </w:p>
    <w:p w14:paraId="509BEF4B" w14:textId="21E5E189" w:rsidR="00301445" w:rsidRPr="00D3207A" w:rsidRDefault="00301445" w:rsidP="005D263F">
      <w:pPr>
        <w:spacing w:after="0"/>
        <w:jc w:val="both"/>
        <w:rPr>
          <w:b/>
          <w:bCs/>
        </w:rPr>
      </w:pPr>
      <w:r w:rsidRPr="00D3207A">
        <w:rPr>
          <w:b/>
          <w:bCs/>
        </w:rPr>
        <w:t>Guideline 77a – Alternative approach to calculate EPIFP</w:t>
      </w:r>
    </w:p>
    <w:p w14:paraId="581A2F62" w14:textId="7F98A4E7" w:rsidR="00301445" w:rsidRPr="00D3207A" w:rsidRDefault="00301445" w:rsidP="005D263F">
      <w:pPr>
        <w:spacing w:after="0"/>
        <w:jc w:val="both"/>
      </w:pPr>
    </w:p>
    <w:p w14:paraId="1DFB3E1C" w14:textId="616064A7" w:rsidR="00301445" w:rsidRPr="00D3207A" w:rsidRDefault="00301445" w:rsidP="005D263F">
      <w:pPr>
        <w:pStyle w:val="ListParagraph"/>
        <w:spacing w:after="0"/>
        <w:jc w:val="both"/>
      </w:pPr>
      <w:r w:rsidRPr="00D3207A">
        <w:t>Insurance and reinsurance undertakings may identify EPIFP as the part of present value of future profits related to future premiums in case the outcome does not materially deviate from the value that would have resulted from the valuation described in Guideline 77. This approach may be implemented using a formula design.</w:t>
      </w:r>
    </w:p>
    <w:p w14:paraId="4514B76E" w14:textId="5410FDE9" w:rsidR="00D04E75" w:rsidRPr="00D3207A" w:rsidRDefault="00D04E75" w:rsidP="005D263F">
      <w:pPr>
        <w:spacing w:after="0"/>
        <w:jc w:val="both"/>
      </w:pPr>
    </w:p>
    <w:p w14:paraId="0FD26EAD" w14:textId="25F4308D" w:rsidR="003E706A" w:rsidRPr="00D3207A" w:rsidRDefault="003E706A" w:rsidP="005D263F">
      <w:pPr>
        <w:spacing w:after="0"/>
        <w:jc w:val="both"/>
        <w:rPr>
          <w:b/>
          <w:bCs/>
        </w:rPr>
      </w:pPr>
      <w:r w:rsidRPr="00D3207A">
        <w:rPr>
          <w:b/>
          <w:bCs/>
        </w:rPr>
        <w:t>Methodologies to calculate recoverables from reinsurance contracts and special purpose vehicles</w:t>
      </w:r>
    </w:p>
    <w:p w14:paraId="23F765BE" w14:textId="77777777" w:rsidR="007C2328" w:rsidRPr="00D3207A" w:rsidRDefault="007C2328" w:rsidP="005D263F">
      <w:pPr>
        <w:spacing w:after="0"/>
        <w:jc w:val="both"/>
        <w:rPr>
          <w:b/>
          <w:bCs/>
        </w:rPr>
      </w:pPr>
    </w:p>
    <w:p w14:paraId="16ECA6E3" w14:textId="498A0D53" w:rsidR="003E706A" w:rsidRPr="00D3207A" w:rsidRDefault="003E706A" w:rsidP="005D263F">
      <w:pPr>
        <w:spacing w:after="0"/>
        <w:jc w:val="both"/>
        <w:rPr>
          <w:b/>
          <w:bCs/>
        </w:rPr>
      </w:pPr>
      <w:r w:rsidRPr="00D3207A">
        <w:rPr>
          <w:b/>
          <w:bCs/>
        </w:rPr>
        <w:t xml:space="preserve">Guideline 78 </w:t>
      </w:r>
      <w:r w:rsidR="00BA6A92">
        <w:rPr>
          <w:b/>
          <w:bCs/>
        </w:rPr>
        <w:t>–</w:t>
      </w:r>
      <w:r w:rsidRPr="00D3207A">
        <w:rPr>
          <w:b/>
          <w:bCs/>
        </w:rPr>
        <w:t xml:space="preserve"> Extent of allowance for future reinsurance purchase</w:t>
      </w:r>
    </w:p>
    <w:p w14:paraId="728831D7" w14:textId="77777777" w:rsidR="007C2328" w:rsidRPr="00D3207A" w:rsidRDefault="007C2328" w:rsidP="005D263F">
      <w:pPr>
        <w:spacing w:after="0"/>
        <w:jc w:val="both"/>
        <w:rPr>
          <w:b/>
          <w:bCs/>
        </w:rPr>
      </w:pPr>
    </w:p>
    <w:p w14:paraId="7CB05A14" w14:textId="2B3860CC" w:rsidR="003E706A" w:rsidRPr="00D3207A" w:rsidRDefault="003E706A" w:rsidP="005D263F">
      <w:pPr>
        <w:pStyle w:val="ListParagraph"/>
        <w:spacing w:after="0"/>
        <w:jc w:val="both"/>
      </w:pPr>
      <w:r w:rsidRPr="00D3207A">
        <w:t xml:space="preserve">Insurance and reinsurance undertakings should recognise future cash-flows relating to future reinsurance purchasing covering obligations already recognised in the balance-sheet </w:t>
      </w:r>
      <w:r w:rsidR="00D86374">
        <w:t>–</w:t>
      </w:r>
      <w:r w:rsidRPr="00D3207A">
        <w:t xml:space="preserve"> to the extent that it is replacing any expiring reinsurance arrangements and if it can be demonstrated that it meets the conditions stated below:</w:t>
      </w:r>
    </w:p>
    <w:p w14:paraId="147CB60B" w14:textId="4D868147" w:rsidR="003E706A" w:rsidRPr="00D3207A" w:rsidRDefault="003E706A" w:rsidP="00BA6A92">
      <w:pPr>
        <w:pStyle w:val="ListParagraph"/>
        <w:numPr>
          <w:ilvl w:val="0"/>
          <w:numId w:val="113"/>
        </w:numPr>
        <w:spacing w:after="0"/>
        <w:ind w:left="993" w:hanging="284"/>
        <w:jc w:val="both"/>
      </w:pPr>
      <w:r w:rsidRPr="00D3207A">
        <w:t>the</w:t>
      </w:r>
      <w:r w:rsidR="006E03C3" w:rsidRPr="00D3207A">
        <w:t xml:space="preserve"> </w:t>
      </w:r>
      <w:r w:rsidRPr="00D3207A">
        <w:t>insurance or</w:t>
      </w:r>
      <w:r w:rsidR="006E03C3" w:rsidRPr="00D3207A">
        <w:t xml:space="preserve"> </w:t>
      </w:r>
      <w:r w:rsidRPr="00D3207A">
        <w:t>reinsurance</w:t>
      </w:r>
      <w:r w:rsidR="006E03C3" w:rsidRPr="00D3207A">
        <w:t xml:space="preserve"> </w:t>
      </w:r>
      <w:r w:rsidRPr="00D3207A">
        <w:t>undertaking</w:t>
      </w:r>
      <w:r w:rsidR="006E03C3" w:rsidRPr="00D3207A">
        <w:t xml:space="preserve"> </w:t>
      </w:r>
      <w:r w:rsidRPr="00D3207A">
        <w:t>has</w:t>
      </w:r>
      <w:r w:rsidR="006E03C3" w:rsidRPr="00D3207A">
        <w:t xml:space="preserve"> </w:t>
      </w:r>
      <w:r w:rsidRPr="00D3207A">
        <w:t>a written policy on</w:t>
      </w:r>
      <w:r w:rsidR="006E03C3" w:rsidRPr="00D3207A">
        <w:t xml:space="preserve"> </w:t>
      </w:r>
      <w:r w:rsidRPr="00D3207A">
        <w:t>the replacement of the reinsurance arrangement</w:t>
      </w:r>
      <w:r w:rsidR="005C0590">
        <w:t>;</w:t>
      </w:r>
    </w:p>
    <w:p w14:paraId="0F607261" w14:textId="5D4CC568" w:rsidR="003E706A" w:rsidRPr="00D3207A" w:rsidRDefault="00FC772A" w:rsidP="00BA6A92">
      <w:pPr>
        <w:pStyle w:val="ListParagraph"/>
        <w:numPr>
          <w:ilvl w:val="0"/>
          <w:numId w:val="113"/>
        </w:numPr>
        <w:spacing w:after="0"/>
        <w:ind w:left="993" w:hanging="284"/>
        <w:jc w:val="both"/>
      </w:pPr>
      <w:r w:rsidRPr="00D3207A">
        <w:t>the replacement of the reinsurance arrangement does not take place more regularly than every 3 months</w:t>
      </w:r>
      <w:r w:rsidR="005C0590">
        <w:t>;</w:t>
      </w:r>
    </w:p>
    <w:p w14:paraId="181BF4FF" w14:textId="5EF1E0EF" w:rsidR="003E706A" w:rsidRDefault="003E706A" w:rsidP="00BA6A92">
      <w:pPr>
        <w:pStyle w:val="ListParagraph"/>
        <w:numPr>
          <w:ilvl w:val="0"/>
          <w:numId w:val="113"/>
        </w:numPr>
        <w:spacing w:after="0"/>
        <w:ind w:left="993" w:hanging="284"/>
        <w:jc w:val="both"/>
      </w:pPr>
      <w:r w:rsidRPr="00D3207A">
        <w:t>the replacement of the reinsurance arrangement is not</w:t>
      </w:r>
      <w:r w:rsidR="006E03C3" w:rsidRPr="00D3207A">
        <w:t xml:space="preserve"> </w:t>
      </w:r>
      <w:r w:rsidRPr="00D3207A">
        <w:t>conditional</w:t>
      </w:r>
      <w:r w:rsidR="006E03C3" w:rsidRPr="00D3207A">
        <w:t xml:space="preserve"> </w:t>
      </w:r>
      <w:r w:rsidRPr="00D3207A">
        <w:t>on</w:t>
      </w:r>
      <w:r w:rsidR="006E03C3" w:rsidRPr="00D3207A">
        <w:t xml:space="preserve"> </w:t>
      </w:r>
      <w:r w:rsidRPr="00D3207A">
        <w:t>any future event which is outside of the control of the insurance or reinsurance undertaking. Where the replacement of the reinsurance arrangement is conditional on any future event, that is within the control of the insurance or reinsurance undertaking, then the conditions should be clearly documented in the written policy referred to in point (a);</w:t>
      </w:r>
    </w:p>
    <w:p w14:paraId="004F2052" w14:textId="653E06B0" w:rsidR="005C0590" w:rsidRPr="00D3207A" w:rsidRDefault="005C0590" w:rsidP="00BA6A92">
      <w:pPr>
        <w:pStyle w:val="ListParagraph"/>
        <w:numPr>
          <w:ilvl w:val="0"/>
          <w:numId w:val="113"/>
        </w:numPr>
        <w:spacing w:after="0"/>
        <w:ind w:left="993" w:hanging="284"/>
        <w:jc w:val="both"/>
      </w:pPr>
      <w:r w:rsidRPr="00D3207A">
        <w:t>the replacement of the reinsurance arrangement must be realistic and consistent with the insurance or reinsurance undertaking’s current business practice and business strategy. The insurance or reinsurance undertaking must be able to verify that the replacement is realistic through a comparison of the assumed replacement with replacements taken previously by the insurance or reinsurance undertaking</w:t>
      </w:r>
      <w:r>
        <w:t>;</w:t>
      </w:r>
    </w:p>
    <w:p w14:paraId="58967EC9" w14:textId="0FE0EDDC" w:rsidR="003E706A" w:rsidRPr="00D3207A" w:rsidRDefault="003E706A" w:rsidP="00BA6A92">
      <w:pPr>
        <w:pStyle w:val="ListParagraph"/>
        <w:numPr>
          <w:ilvl w:val="0"/>
          <w:numId w:val="113"/>
        </w:numPr>
        <w:spacing w:after="0"/>
        <w:ind w:left="993" w:hanging="284"/>
        <w:jc w:val="both"/>
      </w:pPr>
      <w:r w:rsidRPr="00D3207A">
        <w:t>the risk that the reinsurance arrangement cannot be replaced due to capacity constraints is immaterial</w:t>
      </w:r>
      <w:r w:rsidR="005C0590">
        <w:t>;</w:t>
      </w:r>
    </w:p>
    <w:p w14:paraId="16D5BC40" w14:textId="1E76EE66" w:rsidR="003E706A" w:rsidRPr="00D3207A" w:rsidRDefault="003E706A" w:rsidP="00BA6A92">
      <w:pPr>
        <w:pStyle w:val="ListParagraph"/>
        <w:numPr>
          <w:ilvl w:val="0"/>
          <w:numId w:val="113"/>
        </w:numPr>
        <w:spacing w:after="0"/>
        <w:ind w:left="993" w:hanging="284"/>
        <w:jc w:val="both"/>
      </w:pPr>
      <w:r w:rsidRPr="00D3207A">
        <w:t>an</w:t>
      </w:r>
      <w:r w:rsidR="006E03C3" w:rsidRPr="00D3207A">
        <w:t xml:space="preserve"> </w:t>
      </w:r>
      <w:r w:rsidRPr="00D3207A">
        <w:t>appropriate estimate of the future reinsurance premium to be charged is made which reflects the risk that the cost of replacing existing reinsurance arrangements may increase</w:t>
      </w:r>
      <w:r w:rsidR="005C0590">
        <w:t>;</w:t>
      </w:r>
    </w:p>
    <w:p w14:paraId="474E4CFF" w14:textId="183B060C" w:rsidR="003E706A" w:rsidRPr="00D3207A" w:rsidRDefault="003E706A" w:rsidP="00BA6A92">
      <w:pPr>
        <w:pStyle w:val="ListParagraph"/>
        <w:numPr>
          <w:ilvl w:val="0"/>
          <w:numId w:val="113"/>
        </w:numPr>
        <w:spacing w:after="0"/>
        <w:ind w:left="993" w:hanging="284"/>
        <w:jc w:val="both"/>
      </w:pPr>
      <w:r w:rsidRPr="00D3207A">
        <w:t xml:space="preserve">the replacement of the reinsurance arrangement is not contrary to the requirements that apply to future management actions set out in Article 236 of </w:t>
      </w:r>
      <w:r w:rsidR="005C0590">
        <w:t>the</w:t>
      </w:r>
      <w:r w:rsidRPr="00D3207A">
        <w:t xml:space="preserve"> Delegated Regulation.</w:t>
      </w:r>
    </w:p>
    <w:p w14:paraId="09ABF8AF" w14:textId="77777777" w:rsidR="007C2328" w:rsidRPr="00D3207A" w:rsidRDefault="007C2328" w:rsidP="005D263F">
      <w:pPr>
        <w:spacing w:after="0"/>
        <w:ind w:left="1418" w:hanging="567"/>
        <w:jc w:val="both"/>
      </w:pPr>
    </w:p>
    <w:p w14:paraId="37759401" w14:textId="5609DA60" w:rsidR="003E706A" w:rsidRPr="00D3207A" w:rsidRDefault="003E706A" w:rsidP="005D263F">
      <w:pPr>
        <w:spacing w:after="0"/>
        <w:jc w:val="both"/>
        <w:rPr>
          <w:b/>
          <w:bCs/>
        </w:rPr>
      </w:pPr>
      <w:r w:rsidRPr="00D3207A">
        <w:rPr>
          <w:b/>
          <w:bCs/>
        </w:rPr>
        <w:lastRenderedPageBreak/>
        <w:t xml:space="preserve">Guideline 79 </w:t>
      </w:r>
      <w:r w:rsidR="00BA6A92">
        <w:rPr>
          <w:b/>
          <w:bCs/>
        </w:rPr>
        <w:t>–</w:t>
      </w:r>
      <w:r w:rsidRPr="00D3207A">
        <w:rPr>
          <w:b/>
          <w:bCs/>
        </w:rPr>
        <w:t xml:space="preserve"> Simplified calculation of recoverables from</w:t>
      </w:r>
      <w:r w:rsidR="006E03C3" w:rsidRPr="00D3207A">
        <w:rPr>
          <w:b/>
          <w:bCs/>
        </w:rPr>
        <w:t xml:space="preserve"> </w:t>
      </w:r>
      <w:r w:rsidRPr="00D3207A">
        <w:rPr>
          <w:b/>
          <w:bCs/>
        </w:rPr>
        <w:t>reinsurance contracts and special purpose vehicles – premium provisions</w:t>
      </w:r>
    </w:p>
    <w:p w14:paraId="361ED2B7" w14:textId="77777777" w:rsidR="007C2328" w:rsidRPr="00D3207A" w:rsidRDefault="007C2328" w:rsidP="005D263F">
      <w:pPr>
        <w:spacing w:after="0"/>
        <w:jc w:val="both"/>
      </w:pPr>
    </w:p>
    <w:p w14:paraId="36D1AF80" w14:textId="74158CB6" w:rsidR="003E706A" w:rsidRPr="00D3207A" w:rsidRDefault="003E706A" w:rsidP="005D263F">
      <w:pPr>
        <w:pStyle w:val="ListParagraph"/>
        <w:numPr>
          <w:ilvl w:val="0"/>
          <w:numId w:val="89"/>
        </w:numPr>
        <w:spacing w:after="0"/>
        <w:jc w:val="both"/>
      </w:pPr>
      <w:r w:rsidRPr="00D3207A">
        <w:t>In order to estimate the amount of reinsurance recoverable from the gross of reinsurance premium provision amount where a simplified calculation is applied, insurance and reinsurance undertakings should apply a separate gross to net factor to the cash outflow and potentially undertakings should apply a different gross to net factor for the cash inflow. Undertakings should base the gross to net factor for the cash outflow on an examination of past claims events with consideration of the future reinsurance programme applicable. The gross to net factor for the cash inflow should be based on consideration of the relative gross and reinsurance premiums expected to be received and paid.</w:t>
      </w:r>
    </w:p>
    <w:p w14:paraId="0477B858" w14:textId="77777777" w:rsidR="007C2328" w:rsidRPr="00D3207A" w:rsidRDefault="007C2328" w:rsidP="005D263F">
      <w:pPr>
        <w:spacing w:after="0"/>
        <w:jc w:val="both"/>
      </w:pPr>
    </w:p>
    <w:p w14:paraId="5C13E0F9" w14:textId="2445B171" w:rsidR="003E706A" w:rsidRPr="00D3207A" w:rsidRDefault="003E706A" w:rsidP="005D263F">
      <w:pPr>
        <w:pStyle w:val="ListParagraph"/>
        <w:numPr>
          <w:ilvl w:val="0"/>
          <w:numId w:val="89"/>
        </w:numPr>
        <w:spacing w:after="0"/>
        <w:jc w:val="both"/>
      </w:pPr>
      <w:r w:rsidRPr="00D3207A">
        <w:t>Without prejudice to the provisions in the first paragraph of this guideline and the proportionality assessment, undertakings may apply the simplifications outlined in Technical Annex V.</w:t>
      </w:r>
    </w:p>
    <w:p w14:paraId="2373230B" w14:textId="77777777" w:rsidR="007C2328" w:rsidRPr="00D3207A" w:rsidRDefault="007C2328" w:rsidP="005D263F">
      <w:pPr>
        <w:spacing w:after="0"/>
        <w:jc w:val="both"/>
      </w:pPr>
    </w:p>
    <w:p w14:paraId="35A25A7C" w14:textId="2282871D" w:rsidR="003E706A" w:rsidRPr="00D3207A" w:rsidRDefault="003E706A" w:rsidP="005D263F">
      <w:pPr>
        <w:spacing w:after="0"/>
        <w:jc w:val="both"/>
        <w:rPr>
          <w:b/>
          <w:bCs/>
        </w:rPr>
      </w:pPr>
      <w:r w:rsidRPr="00D3207A">
        <w:rPr>
          <w:b/>
          <w:bCs/>
        </w:rPr>
        <w:t>Guideline 80 – Simplified calculation of recoverables from</w:t>
      </w:r>
      <w:r w:rsidR="006E03C3" w:rsidRPr="00D3207A">
        <w:rPr>
          <w:b/>
          <w:bCs/>
        </w:rPr>
        <w:t xml:space="preserve"> </w:t>
      </w:r>
      <w:r w:rsidRPr="00D3207A">
        <w:rPr>
          <w:b/>
          <w:bCs/>
        </w:rPr>
        <w:t>reinsurance contracts and special purpose vehicles – provisions for claims outstanding</w:t>
      </w:r>
    </w:p>
    <w:p w14:paraId="250DBC90" w14:textId="77777777" w:rsidR="007C2328" w:rsidRPr="00D3207A" w:rsidRDefault="007C2328" w:rsidP="005D263F">
      <w:pPr>
        <w:spacing w:after="0"/>
        <w:jc w:val="both"/>
        <w:rPr>
          <w:b/>
          <w:bCs/>
        </w:rPr>
      </w:pPr>
    </w:p>
    <w:p w14:paraId="023835B2" w14:textId="20E93BC4" w:rsidR="003E706A" w:rsidRPr="00D3207A" w:rsidRDefault="003E706A" w:rsidP="005D263F">
      <w:pPr>
        <w:pStyle w:val="ListParagraph"/>
        <w:spacing w:after="0"/>
        <w:jc w:val="both"/>
      </w:pPr>
      <w:r w:rsidRPr="00D3207A">
        <w:t xml:space="preserve">With respect to the provisions for claims outstanding for reinsurance recoverables, insurance and reinsurance undertakings should use separate gross-to-net techniques either for each accident year or for each underwriting year (reporting </w:t>
      </w:r>
      <w:r w:rsidR="000E49A4">
        <w:t>period</w:t>
      </w:r>
      <w:r w:rsidRPr="00D3207A">
        <w:t>) not finally developed for a given line of business or homogeneous risk group if appropriate.</w:t>
      </w:r>
    </w:p>
    <w:p w14:paraId="7253F849" w14:textId="77777777" w:rsidR="00A33E1A" w:rsidRPr="00D3207A" w:rsidRDefault="00A33E1A" w:rsidP="005D263F">
      <w:pPr>
        <w:spacing w:after="0"/>
        <w:jc w:val="both"/>
      </w:pPr>
    </w:p>
    <w:p w14:paraId="1B3898DB" w14:textId="69B64209" w:rsidR="003E706A" w:rsidRPr="00D3207A" w:rsidRDefault="003E706A" w:rsidP="005D263F">
      <w:pPr>
        <w:spacing w:after="0"/>
        <w:jc w:val="both"/>
        <w:rPr>
          <w:b/>
          <w:bCs/>
        </w:rPr>
      </w:pPr>
      <w:r w:rsidRPr="00D3207A">
        <w:rPr>
          <w:b/>
          <w:bCs/>
        </w:rPr>
        <w:t>Guideline 81 – Simplified calculation of the counterparty default adjustment</w:t>
      </w:r>
    </w:p>
    <w:p w14:paraId="10104337" w14:textId="77777777" w:rsidR="007C2328" w:rsidRPr="00D3207A" w:rsidRDefault="007C2328" w:rsidP="005D263F">
      <w:pPr>
        <w:spacing w:after="0"/>
        <w:jc w:val="both"/>
        <w:rPr>
          <w:b/>
          <w:bCs/>
        </w:rPr>
      </w:pPr>
    </w:p>
    <w:p w14:paraId="1F463DA5" w14:textId="17D93F5B" w:rsidR="003E706A" w:rsidRPr="00D3207A" w:rsidRDefault="003E706A" w:rsidP="005D263F">
      <w:pPr>
        <w:pStyle w:val="ListParagraph"/>
        <w:spacing w:after="0"/>
        <w:jc w:val="both"/>
      </w:pPr>
      <w:r w:rsidRPr="00D3207A">
        <w:t>The</w:t>
      </w:r>
      <w:r w:rsidR="006E03C3" w:rsidRPr="00D3207A">
        <w:t xml:space="preserve"> </w:t>
      </w:r>
      <w:r w:rsidRPr="00D3207A">
        <w:t>simplified</w:t>
      </w:r>
      <w:r w:rsidR="006E03C3" w:rsidRPr="00D3207A">
        <w:t xml:space="preserve"> </w:t>
      </w:r>
      <w:r w:rsidRPr="00D3207A">
        <w:t>calculation</w:t>
      </w:r>
      <w:r w:rsidR="006E03C3" w:rsidRPr="00D3207A">
        <w:t xml:space="preserve"> </w:t>
      </w:r>
      <w:r w:rsidRPr="00D3207A">
        <w:t>of</w:t>
      </w:r>
      <w:r w:rsidR="006E03C3" w:rsidRPr="00D3207A">
        <w:t xml:space="preserve"> </w:t>
      </w:r>
      <w:r w:rsidRPr="00D3207A">
        <w:t>the</w:t>
      </w:r>
      <w:r w:rsidR="006E03C3" w:rsidRPr="00D3207A">
        <w:t xml:space="preserve"> </w:t>
      </w:r>
      <w:r w:rsidRPr="00D3207A">
        <w:t>adjustment</w:t>
      </w:r>
      <w:r w:rsidR="006E03C3" w:rsidRPr="00D3207A">
        <w:t xml:space="preserve"> </w:t>
      </w:r>
      <w:r w:rsidRPr="00D3207A">
        <w:t>for</w:t>
      </w:r>
      <w:r w:rsidR="006E03C3" w:rsidRPr="00D3207A">
        <w:t xml:space="preserve"> </w:t>
      </w:r>
      <w:r w:rsidRPr="00D3207A">
        <w:t>counterparty default</w:t>
      </w:r>
      <w:r w:rsidR="006E03C3" w:rsidRPr="00D3207A">
        <w:t xml:space="preserve"> </w:t>
      </w:r>
      <w:r w:rsidRPr="00D3207A">
        <w:t xml:space="preserve">given in Article 61 of </w:t>
      </w:r>
      <w:r w:rsidR="000E49A4">
        <w:t>the</w:t>
      </w:r>
      <w:r w:rsidRPr="00D3207A">
        <w:t xml:space="preserve"> Delegated</w:t>
      </w:r>
      <w:r w:rsidR="006E03C3" w:rsidRPr="00D3207A">
        <w:t xml:space="preserve"> </w:t>
      </w:r>
      <w:r w:rsidRPr="00D3207A">
        <w:t>Regulation being based on the assumption that the probability of default of the counterparty remains constant over time, insurance</w:t>
      </w:r>
      <w:r w:rsidR="006E03C3" w:rsidRPr="00D3207A">
        <w:t xml:space="preserve"> </w:t>
      </w:r>
      <w:r w:rsidRPr="00D3207A">
        <w:t>and</w:t>
      </w:r>
      <w:r w:rsidR="006E03C3" w:rsidRPr="00D3207A">
        <w:t xml:space="preserve"> </w:t>
      </w:r>
      <w:r w:rsidRPr="00D3207A">
        <w:t>reinsurance</w:t>
      </w:r>
      <w:r w:rsidR="006E03C3" w:rsidRPr="00D3207A">
        <w:t xml:space="preserve"> </w:t>
      </w:r>
      <w:r w:rsidRPr="00D3207A">
        <w:t>undertakings</w:t>
      </w:r>
      <w:r w:rsidR="006E03C3" w:rsidRPr="00D3207A">
        <w:t xml:space="preserve"> </w:t>
      </w:r>
      <w:r w:rsidRPr="00D3207A">
        <w:t>proposing</w:t>
      </w:r>
      <w:r w:rsidR="006E03C3" w:rsidRPr="00D3207A">
        <w:t xml:space="preserve"> </w:t>
      </w:r>
      <w:r w:rsidRPr="00D3207A">
        <w:t>to use this simplification should consider whether this assumption is realistic, taking into account the credit quality step of the counterparty and the modified duration of the</w:t>
      </w:r>
      <w:r w:rsidR="006E03C3" w:rsidRPr="00D3207A">
        <w:t xml:space="preserve"> </w:t>
      </w:r>
      <w:r w:rsidRPr="00D3207A">
        <w:t>amounts</w:t>
      </w:r>
      <w:r w:rsidR="006E03C3" w:rsidRPr="00D3207A">
        <w:t xml:space="preserve"> </w:t>
      </w:r>
      <w:r w:rsidRPr="00D3207A">
        <w:t>recoverable</w:t>
      </w:r>
      <w:r w:rsidR="006E03C3" w:rsidRPr="00D3207A">
        <w:t xml:space="preserve"> </w:t>
      </w:r>
      <w:r w:rsidRPr="00D3207A">
        <w:t>from</w:t>
      </w:r>
      <w:r w:rsidR="006E03C3" w:rsidRPr="00D3207A">
        <w:t xml:space="preserve"> </w:t>
      </w:r>
      <w:r w:rsidRPr="00D3207A">
        <w:t>reinsurance</w:t>
      </w:r>
      <w:r w:rsidR="006E03C3" w:rsidRPr="00D3207A">
        <w:t xml:space="preserve"> </w:t>
      </w:r>
      <w:r w:rsidRPr="00D3207A">
        <w:t>contracts</w:t>
      </w:r>
      <w:r w:rsidR="006E03C3" w:rsidRPr="00D3207A">
        <w:t xml:space="preserve"> </w:t>
      </w:r>
      <w:r w:rsidRPr="00D3207A">
        <w:t>and</w:t>
      </w:r>
      <w:r w:rsidR="006E03C3" w:rsidRPr="00D3207A">
        <w:t xml:space="preserve"> </w:t>
      </w:r>
      <w:r w:rsidRPr="00D3207A">
        <w:t>special purpose vehicles.</w:t>
      </w:r>
    </w:p>
    <w:p w14:paraId="323FC905" w14:textId="77777777" w:rsidR="007C2328" w:rsidRPr="00D3207A" w:rsidRDefault="007C2328" w:rsidP="005D263F">
      <w:pPr>
        <w:spacing w:after="0"/>
        <w:jc w:val="both"/>
      </w:pPr>
    </w:p>
    <w:p w14:paraId="64B7A181" w14:textId="2A759B2D" w:rsidR="003E706A" w:rsidRPr="00D3207A" w:rsidRDefault="003E706A" w:rsidP="005D263F">
      <w:pPr>
        <w:spacing w:after="0"/>
        <w:jc w:val="both"/>
        <w:rPr>
          <w:b/>
          <w:bCs/>
        </w:rPr>
      </w:pPr>
      <w:r w:rsidRPr="00D3207A">
        <w:rPr>
          <w:b/>
          <w:bCs/>
        </w:rPr>
        <w:t>General Principles in respect of methodologies to calculate technical provisions</w:t>
      </w:r>
    </w:p>
    <w:p w14:paraId="744C7B76" w14:textId="77777777" w:rsidR="007C2328" w:rsidRPr="00D3207A" w:rsidRDefault="007C2328" w:rsidP="005D263F">
      <w:pPr>
        <w:spacing w:after="0"/>
        <w:jc w:val="both"/>
        <w:rPr>
          <w:b/>
          <w:bCs/>
        </w:rPr>
      </w:pPr>
    </w:p>
    <w:p w14:paraId="73BBC566" w14:textId="7CCED0B4" w:rsidR="003E706A" w:rsidRPr="00D3207A" w:rsidRDefault="003E706A" w:rsidP="005D263F">
      <w:pPr>
        <w:spacing w:after="0"/>
        <w:jc w:val="both"/>
        <w:rPr>
          <w:b/>
          <w:bCs/>
        </w:rPr>
      </w:pPr>
      <w:r w:rsidRPr="00D3207A">
        <w:rPr>
          <w:b/>
          <w:bCs/>
        </w:rPr>
        <w:t xml:space="preserve">Guideline 82 – The projection period </w:t>
      </w:r>
    </w:p>
    <w:p w14:paraId="0E6F7146" w14:textId="77777777" w:rsidR="007C2328" w:rsidRPr="00D3207A" w:rsidRDefault="007C2328" w:rsidP="005D263F">
      <w:pPr>
        <w:spacing w:after="0"/>
        <w:jc w:val="both"/>
        <w:rPr>
          <w:b/>
          <w:bCs/>
        </w:rPr>
      </w:pPr>
    </w:p>
    <w:p w14:paraId="179A8B8A" w14:textId="47426A83" w:rsidR="003E706A" w:rsidRPr="00D3207A" w:rsidRDefault="003E706A" w:rsidP="005D263F">
      <w:pPr>
        <w:pStyle w:val="ListParagraph"/>
        <w:spacing w:after="0"/>
        <w:jc w:val="both"/>
      </w:pPr>
      <w:r w:rsidRPr="00D3207A">
        <w:t>When assessing whether the projection period and the timing of cash-flows to the policyholders during the year is proportionate, insurance and reinsurance undertakings should at least take into account the following characteristics:</w:t>
      </w:r>
    </w:p>
    <w:p w14:paraId="1EE7E21C" w14:textId="2D71FE3B" w:rsidR="003E706A" w:rsidRPr="00D3207A" w:rsidRDefault="003E706A" w:rsidP="005D263F">
      <w:pPr>
        <w:pStyle w:val="ListParagraph"/>
        <w:numPr>
          <w:ilvl w:val="0"/>
          <w:numId w:val="112"/>
        </w:numPr>
        <w:spacing w:after="0"/>
        <w:jc w:val="both"/>
      </w:pPr>
      <w:r w:rsidRPr="00D3207A">
        <w:t>the degree of the homogeneity of the cash-flows</w:t>
      </w:r>
      <w:r w:rsidR="000E49A4">
        <w:t>;</w:t>
      </w:r>
    </w:p>
    <w:p w14:paraId="40DA0FC2" w14:textId="01EC19A0" w:rsidR="003E706A" w:rsidRPr="00D3207A" w:rsidRDefault="003E706A" w:rsidP="005D263F">
      <w:pPr>
        <w:pStyle w:val="ListParagraph"/>
        <w:numPr>
          <w:ilvl w:val="0"/>
          <w:numId w:val="112"/>
        </w:numPr>
        <w:spacing w:after="0"/>
        <w:jc w:val="both"/>
      </w:pPr>
      <w:r w:rsidRPr="00D3207A">
        <w:t>the</w:t>
      </w:r>
      <w:r w:rsidR="006E03C3" w:rsidRPr="00D3207A">
        <w:t xml:space="preserve"> </w:t>
      </w:r>
      <w:r w:rsidRPr="00D3207A">
        <w:t>level</w:t>
      </w:r>
      <w:r w:rsidR="006E03C3" w:rsidRPr="00D3207A">
        <w:t xml:space="preserve"> </w:t>
      </w:r>
      <w:r w:rsidRPr="00D3207A">
        <w:t>of</w:t>
      </w:r>
      <w:r w:rsidR="006E03C3" w:rsidRPr="00D3207A">
        <w:t xml:space="preserve"> </w:t>
      </w:r>
      <w:r w:rsidRPr="00D3207A">
        <w:t>uncertainty</w:t>
      </w:r>
      <w:r w:rsidR="006E03C3" w:rsidRPr="00D3207A">
        <w:t xml:space="preserve"> </w:t>
      </w:r>
      <w:r w:rsidRPr="00D3207A">
        <w:t>i.e.</w:t>
      </w:r>
      <w:r w:rsidR="006E03C3" w:rsidRPr="00D3207A">
        <w:t xml:space="preserve"> </w:t>
      </w:r>
      <w:r w:rsidRPr="00D3207A">
        <w:t>the</w:t>
      </w:r>
      <w:r w:rsidR="006E03C3" w:rsidRPr="00D3207A">
        <w:t xml:space="preserve"> </w:t>
      </w:r>
      <w:r w:rsidRPr="00D3207A">
        <w:t>extent</w:t>
      </w:r>
      <w:r w:rsidR="006E03C3" w:rsidRPr="00D3207A">
        <w:t xml:space="preserve"> </w:t>
      </w:r>
      <w:r w:rsidRPr="00D3207A">
        <w:t>to</w:t>
      </w:r>
      <w:r w:rsidR="006E03C3" w:rsidRPr="00D3207A">
        <w:t xml:space="preserve"> </w:t>
      </w:r>
      <w:r w:rsidRPr="00D3207A">
        <w:t>which</w:t>
      </w:r>
      <w:r w:rsidR="006E03C3" w:rsidRPr="00D3207A">
        <w:t xml:space="preserve"> </w:t>
      </w:r>
      <w:r w:rsidRPr="00D3207A">
        <w:t>future</w:t>
      </w:r>
      <w:r w:rsidR="006E03C3" w:rsidRPr="00D3207A">
        <w:t xml:space="preserve"> </w:t>
      </w:r>
      <w:r w:rsidRPr="00D3207A">
        <w:t>cash</w:t>
      </w:r>
      <w:r w:rsidR="006E03C3" w:rsidRPr="00D3207A">
        <w:t xml:space="preserve"> </w:t>
      </w:r>
      <w:r w:rsidRPr="00D3207A">
        <w:t>flows</w:t>
      </w:r>
      <w:r w:rsidR="006E03C3" w:rsidRPr="00D3207A">
        <w:t xml:space="preserve"> </w:t>
      </w:r>
      <w:r w:rsidRPr="00D3207A">
        <w:t xml:space="preserve"> can</w:t>
      </w:r>
      <w:r w:rsidR="006E03C3" w:rsidRPr="00D3207A">
        <w:t xml:space="preserve"> </w:t>
      </w:r>
      <w:r w:rsidRPr="00D3207A">
        <w:t>be estimated</w:t>
      </w:r>
      <w:r w:rsidR="000E49A4">
        <w:t>;</w:t>
      </w:r>
    </w:p>
    <w:p w14:paraId="089B592D" w14:textId="0C057257" w:rsidR="003E706A" w:rsidRPr="00D3207A" w:rsidRDefault="003E706A" w:rsidP="005D263F">
      <w:pPr>
        <w:pStyle w:val="ListParagraph"/>
        <w:numPr>
          <w:ilvl w:val="0"/>
          <w:numId w:val="112"/>
        </w:numPr>
        <w:spacing w:after="0"/>
        <w:jc w:val="both"/>
      </w:pPr>
      <w:r w:rsidRPr="00D3207A">
        <w:t>the nature of the cash-flows.</w:t>
      </w:r>
    </w:p>
    <w:p w14:paraId="3907FE17" w14:textId="77777777" w:rsidR="007C2328" w:rsidRPr="00D3207A" w:rsidRDefault="007C2328" w:rsidP="005D263F">
      <w:pPr>
        <w:spacing w:after="0"/>
        <w:jc w:val="both"/>
      </w:pPr>
    </w:p>
    <w:p w14:paraId="4AB8C2B4" w14:textId="549492DE" w:rsidR="003E706A" w:rsidRPr="00D3207A" w:rsidRDefault="003E706A" w:rsidP="005D263F">
      <w:pPr>
        <w:spacing w:after="0"/>
        <w:jc w:val="both"/>
        <w:rPr>
          <w:b/>
          <w:bCs/>
        </w:rPr>
      </w:pPr>
      <w:r w:rsidRPr="00D3207A">
        <w:rPr>
          <w:b/>
          <w:bCs/>
        </w:rPr>
        <w:t>Section 5: Validation</w:t>
      </w:r>
    </w:p>
    <w:p w14:paraId="0B22B931" w14:textId="77777777" w:rsidR="007C2328" w:rsidRPr="00D3207A" w:rsidRDefault="007C2328" w:rsidP="005D263F">
      <w:pPr>
        <w:spacing w:after="0"/>
        <w:jc w:val="both"/>
        <w:rPr>
          <w:b/>
          <w:bCs/>
        </w:rPr>
      </w:pPr>
    </w:p>
    <w:p w14:paraId="2D124570" w14:textId="4E275196" w:rsidR="003E706A" w:rsidRPr="00D3207A" w:rsidRDefault="003E706A" w:rsidP="005D263F">
      <w:pPr>
        <w:spacing w:after="0"/>
        <w:jc w:val="both"/>
        <w:rPr>
          <w:b/>
          <w:bCs/>
        </w:rPr>
      </w:pPr>
      <w:r w:rsidRPr="00D3207A">
        <w:rPr>
          <w:b/>
          <w:bCs/>
        </w:rPr>
        <w:t>Guideline 83 – Proportionality of technical provisions validation</w:t>
      </w:r>
    </w:p>
    <w:p w14:paraId="5571CE95" w14:textId="77777777" w:rsidR="007C2328" w:rsidRPr="00D3207A" w:rsidRDefault="007C2328" w:rsidP="005D263F">
      <w:pPr>
        <w:spacing w:after="0"/>
        <w:jc w:val="both"/>
        <w:rPr>
          <w:b/>
          <w:bCs/>
        </w:rPr>
      </w:pPr>
    </w:p>
    <w:p w14:paraId="64E09A7D" w14:textId="6256FC23" w:rsidR="003E706A" w:rsidRPr="00D3207A" w:rsidRDefault="003E706A" w:rsidP="005D263F">
      <w:pPr>
        <w:pStyle w:val="ListParagraph"/>
        <w:spacing w:after="0"/>
        <w:jc w:val="both"/>
      </w:pPr>
      <w:r w:rsidRPr="00D3207A">
        <w:t xml:space="preserve">Insurance and reinsurance undertakings should require the actuarial function to ensure that the validation process is proportionate, considering the significance of the impact, both in isolation and in combination, of assumptions, approximations and methodologies on the value of technical provisions. </w:t>
      </w:r>
    </w:p>
    <w:p w14:paraId="5B0A0526" w14:textId="77777777" w:rsidR="007C2328" w:rsidRPr="00D3207A" w:rsidRDefault="007C2328" w:rsidP="005D263F">
      <w:pPr>
        <w:spacing w:after="0"/>
        <w:jc w:val="both"/>
      </w:pPr>
    </w:p>
    <w:p w14:paraId="17939A5C" w14:textId="16C6010E" w:rsidR="003E706A" w:rsidRPr="00D3207A" w:rsidRDefault="003E706A" w:rsidP="005D263F">
      <w:pPr>
        <w:spacing w:after="0"/>
        <w:jc w:val="both"/>
        <w:rPr>
          <w:b/>
          <w:bCs/>
        </w:rPr>
      </w:pPr>
      <w:r w:rsidRPr="00D3207A">
        <w:rPr>
          <w:b/>
          <w:bCs/>
        </w:rPr>
        <w:t>Guideline 84 – Selection of validation approaches and processes</w:t>
      </w:r>
    </w:p>
    <w:p w14:paraId="4C554026" w14:textId="77777777" w:rsidR="007C2328" w:rsidRPr="00D3207A" w:rsidRDefault="007C2328" w:rsidP="005D263F">
      <w:pPr>
        <w:spacing w:after="0"/>
        <w:jc w:val="both"/>
        <w:rPr>
          <w:b/>
          <w:bCs/>
        </w:rPr>
      </w:pPr>
    </w:p>
    <w:p w14:paraId="5D67010A" w14:textId="18A89EF9" w:rsidR="003E706A" w:rsidRPr="00D3207A" w:rsidRDefault="003E706A" w:rsidP="005D263F">
      <w:pPr>
        <w:pStyle w:val="ListParagraph"/>
        <w:spacing w:after="0"/>
        <w:jc w:val="both"/>
      </w:pPr>
      <w:r w:rsidRPr="00D3207A">
        <w:t xml:space="preserve">Insurance and reinsurance undertakings should require the actuarial function to </w:t>
      </w:r>
      <w:r w:rsidR="000E49A4">
        <w:t>consider</w:t>
      </w:r>
      <w:r w:rsidRPr="00D3207A">
        <w:t xml:space="preserve"> which validation approaches and processes are most appropriate depending on the characteristics of the liability and intended use for the approach or process.</w:t>
      </w:r>
    </w:p>
    <w:p w14:paraId="0A32776B" w14:textId="77777777" w:rsidR="007C2328" w:rsidRPr="00D3207A" w:rsidRDefault="007C2328" w:rsidP="005D263F">
      <w:pPr>
        <w:spacing w:after="0"/>
        <w:jc w:val="both"/>
      </w:pPr>
    </w:p>
    <w:p w14:paraId="539FD065" w14:textId="64D17E86" w:rsidR="003E706A" w:rsidRPr="00D3207A" w:rsidRDefault="003E706A" w:rsidP="005D263F">
      <w:pPr>
        <w:spacing w:after="0"/>
        <w:jc w:val="both"/>
        <w:rPr>
          <w:b/>
          <w:bCs/>
        </w:rPr>
      </w:pPr>
      <w:r w:rsidRPr="00D3207A">
        <w:rPr>
          <w:b/>
          <w:bCs/>
        </w:rPr>
        <w:t>Guideline 85 – Qualitative and quantitative approaches</w:t>
      </w:r>
    </w:p>
    <w:p w14:paraId="53EFCC92" w14:textId="77777777" w:rsidR="0049669D" w:rsidRPr="00D3207A" w:rsidRDefault="0049669D" w:rsidP="005D263F">
      <w:pPr>
        <w:spacing w:after="0"/>
        <w:jc w:val="both"/>
        <w:rPr>
          <w:b/>
          <w:bCs/>
        </w:rPr>
      </w:pPr>
    </w:p>
    <w:p w14:paraId="2BB2EC65" w14:textId="1827681C" w:rsidR="003E706A" w:rsidRPr="00D3207A" w:rsidRDefault="003E706A" w:rsidP="005D263F">
      <w:pPr>
        <w:pStyle w:val="ListParagraph"/>
        <w:spacing w:after="0"/>
        <w:jc w:val="both"/>
      </w:pPr>
      <w:r w:rsidRPr="00D3207A">
        <w:t>Insurance and reinsurance undertakings should require the actuarial function to ensure that the validation process covers both quantitative and qualitative aspects and goes beyond a comparison of estimates with outcomes. It should also include qualitative aspects such as assessment of controls, documentation, interpretation and communication of results.</w:t>
      </w:r>
    </w:p>
    <w:p w14:paraId="073FB319" w14:textId="77777777" w:rsidR="00A86489" w:rsidRPr="00D3207A" w:rsidRDefault="00A86489" w:rsidP="005D263F">
      <w:pPr>
        <w:spacing w:after="0"/>
        <w:jc w:val="both"/>
      </w:pPr>
    </w:p>
    <w:p w14:paraId="0A23B34A" w14:textId="7CFC6998" w:rsidR="003E706A" w:rsidRPr="00D3207A" w:rsidRDefault="003E706A" w:rsidP="005D263F">
      <w:pPr>
        <w:spacing w:after="0"/>
        <w:jc w:val="both"/>
        <w:rPr>
          <w:b/>
          <w:bCs/>
        </w:rPr>
      </w:pPr>
      <w:r w:rsidRPr="00D3207A">
        <w:rPr>
          <w:b/>
          <w:bCs/>
        </w:rPr>
        <w:t xml:space="preserve">Guideline 86 </w:t>
      </w:r>
      <w:r w:rsidR="0052143A">
        <w:rPr>
          <w:b/>
          <w:bCs/>
        </w:rPr>
        <w:t>–</w:t>
      </w:r>
      <w:r w:rsidRPr="00D3207A">
        <w:rPr>
          <w:b/>
          <w:bCs/>
        </w:rPr>
        <w:t xml:space="preserve"> Regular and dynamic validation process</w:t>
      </w:r>
    </w:p>
    <w:p w14:paraId="25018255" w14:textId="77777777" w:rsidR="00A86489" w:rsidRPr="00D3207A" w:rsidRDefault="00A86489" w:rsidP="005D263F">
      <w:pPr>
        <w:spacing w:after="0"/>
        <w:jc w:val="both"/>
        <w:rPr>
          <w:b/>
          <w:bCs/>
        </w:rPr>
      </w:pPr>
    </w:p>
    <w:p w14:paraId="7867EBE8" w14:textId="39EB24E4" w:rsidR="003E706A" w:rsidRPr="00D3207A" w:rsidRDefault="003E706A" w:rsidP="005D263F">
      <w:pPr>
        <w:pStyle w:val="ListParagraph"/>
        <w:spacing w:after="0"/>
        <w:jc w:val="both"/>
      </w:pPr>
      <w:r w:rsidRPr="00D3207A">
        <w:t xml:space="preserve">Insurance and reinsurance undertakings should require the actuarial function to perform a regular and dynamic process in which it periodically refines validation approaches to incorporate </w:t>
      </w:r>
      <w:r w:rsidR="000E49A4">
        <w:t>experience</w:t>
      </w:r>
      <w:r w:rsidRPr="00D3207A">
        <w:t xml:space="preserve"> gained from carrying out the previous validations and in response to changing market and operating conditions.</w:t>
      </w:r>
    </w:p>
    <w:p w14:paraId="6C1FC183" w14:textId="77777777" w:rsidR="00A86489" w:rsidRPr="00D3207A" w:rsidRDefault="00A86489" w:rsidP="005D263F">
      <w:pPr>
        <w:spacing w:after="0"/>
        <w:jc w:val="both"/>
      </w:pPr>
    </w:p>
    <w:p w14:paraId="45D20F8D" w14:textId="194FC158" w:rsidR="003E706A" w:rsidRPr="00D3207A" w:rsidRDefault="003E706A" w:rsidP="005D263F">
      <w:pPr>
        <w:spacing w:after="0"/>
        <w:jc w:val="both"/>
        <w:rPr>
          <w:b/>
          <w:bCs/>
        </w:rPr>
      </w:pPr>
      <w:r w:rsidRPr="00D3207A">
        <w:rPr>
          <w:b/>
          <w:bCs/>
        </w:rPr>
        <w:t>Guideline 87 – Comparison against experience – deviations</w:t>
      </w:r>
    </w:p>
    <w:p w14:paraId="23B8FF19" w14:textId="77777777" w:rsidR="00A86489" w:rsidRPr="00D3207A" w:rsidRDefault="00A86489" w:rsidP="005D263F">
      <w:pPr>
        <w:spacing w:after="0"/>
        <w:jc w:val="both"/>
        <w:rPr>
          <w:b/>
          <w:bCs/>
        </w:rPr>
      </w:pPr>
    </w:p>
    <w:p w14:paraId="26AB8032" w14:textId="4D9A3156" w:rsidR="003E706A" w:rsidRPr="00D3207A" w:rsidRDefault="003E706A" w:rsidP="005D263F">
      <w:pPr>
        <w:pStyle w:val="ListParagraph"/>
        <w:numPr>
          <w:ilvl w:val="0"/>
          <w:numId w:val="97"/>
        </w:numPr>
        <w:spacing w:after="0"/>
        <w:jc w:val="both"/>
      </w:pPr>
      <w:r w:rsidRPr="00D3207A">
        <w:t>Insurance and reinsurance undertakings should ensure that the actuarial function:</w:t>
      </w:r>
    </w:p>
    <w:p w14:paraId="6F2FE0F9" w14:textId="3C093942" w:rsidR="003E706A" w:rsidRPr="00D3207A" w:rsidRDefault="00002B22" w:rsidP="00002B22">
      <w:pPr>
        <w:pStyle w:val="ListParagraph"/>
        <w:numPr>
          <w:ilvl w:val="1"/>
          <w:numId w:val="97"/>
        </w:numPr>
        <w:spacing w:after="0"/>
        <w:ind w:left="993" w:hanging="284"/>
        <w:jc w:val="both"/>
      </w:pPr>
      <w:r>
        <w:t>i</w:t>
      </w:r>
      <w:r w:rsidR="003E706A" w:rsidRPr="00D3207A">
        <w:t>dentifies</w:t>
      </w:r>
      <w:r>
        <w:t xml:space="preserve"> </w:t>
      </w:r>
      <w:r w:rsidR="003E706A" w:rsidRPr="00D3207A">
        <w:t>the</w:t>
      </w:r>
      <w:r>
        <w:t xml:space="preserve"> </w:t>
      </w:r>
      <w:r w:rsidR="003E706A" w:rsidRPr="00D3207A">
        <w:t>total</w:t>
      </w:r>
      <w:r>
        <w:t xml:space="preserve"> </w:t>
      </w:r>
      <w:r w:rsidR="003E706A" w:rsidRPr="00D3207A">
        <w:t>deviation</w:t>
      </w:r>
      <w:r>
        <w:t xml:space="preserve"> </w:t>
      </w:r>
      <w:r w:rsidR="003E706A" w:rsidRPr="00D3207A">
        <w:t>between</w:t>
      </w:r>
      <w:r>
        <w:t xml:space="preserve"> </w:t>
      </w:r>
      <w:r w:rsidR="003E706A" w:rsidRPr="00D3207A">
        <w:t>expected</w:t>
      </w:r>
      <w:r>
        <w:t xml:space="preserve"> </w:t>
      </w:r>
      <w:r w:rsidR="003E706A" w:rsidRPr="00D3207A">
        <w:t>and</w:t>
      </w:r>
      <w:r>
        <w:t xml:space="preserve"> </w:t>
      </w:r>
      <w:r w:rsidR="003E706A" w:rsidRPr="00D3207A">
        <w:t>actual</w:t>
      </w:r>
      <w:r>
        <w:t xml:space="preserve"> </w:t>
      </w:r>
      <w:r w:rsidR="003E706A" w:rsidRPr="00D3207A">
        <w:t>claims experience</w:t>
      </w:r>
      <w:r>
        <w:t>;</w:t>
      </w:r>
    </w:p>
    <w:p w14:paraId="399D3135" w14:textId="2242FE2E" w:rsidR="003E706A" w:rsidRPr="00D3207A" w:rsidRDefault="003E706A" w:rsidP="00002B22">
      <w:pPr>
        <w:pStyle w:val="ListParagraph"/>
        <w:numPr>
          <w:ilvl w:val="1"/>
          <w:numId w:val="97"/>
        </w:numPr>
        <w:spacing w:after="0"/>
        <w:ind w:left="993" w:hanging="284"/>
        <w:jc w:val="both"/>
      </w:pPr>
      <w:r w:rsidRPr="00D3207A">
        <w:t>splits the total deviation into its main sources and analyses the reasons behind the deviation</w:t>
      </w:r>
      <w:r w:rsidR="00002B22">
        <w:t>;</w:t>
      </w:r>
    </w:p>
    <w:p w14:paraId="607840F7" w14:textId="1216E3B3" w:rsidR="003E706A" w:rsidRPr="00D3207A" w:rsidRDefault="003E706A" w:rsidP="00002B22">
      <w:pPr>
        <w:pStyle w:val="ListParagraph"/>
        <w:numPr>
          <w:ilvl w:val="1"/>
          <w:numId w:val="97"/>
        </w:numPr>
        <w:spacing w:after="0"/>
        <w:ind w:left="993" w:hanging="284"/>
        <w:jc w:val="both"/>
      </w:pPr>
      <w:r w:rsidRPr="00D3207A">
        <w:t>if the deviation does not appear to be a temporary aberration, makes recommendations on the changes to the model or assumptions used.</w:t>
      </w:r>
    </w:p>
    <w:p w14:paraId="65053099" w14:textId="77777777" w:rsidR="00A86489" w:rsidRPr="00D3207A" w:rsidRDefault="00A86489" w:rsidP="005D263F">
      <w:pPr>
        <w:spacing w:after="0"/>
        <w:jc w:val="both"/>
      </w:pPr>
    </w:p>
    <w:p w14:paraId="2D5B664D" w14:textId="76813391" w:rsidR="003E706A" w:rsidRPr="00D3207A" w:rsidRDefault="003E706A" w:rsidP="005D263F">
      <w:pPr>
        <w:pStyle w:val="ListParagraph"/>
        <w:numPr>
          <w:ilvl w:val="0"/>
          <w:numId w:val="97"/>
        </w:numPr>
        <w:spacing w:after="0"/>
        <w:jc w:val="both"/>
      </w:pPr>
      <w:r w:rsidRPr="00D3207A">
        <w:t>Undertakings should ensure that relevant market data and trends are considered as a part of the comparison against experience.</w:t>
      </w:r>
    </w:p>
    <w:p w14:paraId="279C3269" w14:textId="77777777" w:rsidR="00A86489" w:rsidRPr="00D3207A" w:rsidRDefault="00A86489" w:rsidP="005D263F">
      <w:pPr>
        <w:spacing w:after="0"/>
        <w:jc w:val="both"/>
      </w:pPr>
    </w:p>
    <w:p w14:paraId="2670635B" w14:textId="311C3190" w:rsidR="003E706A" w:rsidRPr="00D3207A" w:rsidRDefault="003E706A" w:rsidP="005D263F">
      <w:pPr>
        <w:spacing w:after="0"/>
        <w:jc w:val="both"/>
        <w:rPr>
          <w:b/>
          <w:bCs/>
        </w:rPr>
      </w:pPr>
      <w:r w:rsidRPr="00D3207A">
        <w:rPr>
          <w:b/>
          <w:bCs/>
        </w:rPr>
        <w:t xml:space="preserve">Guideline 88 </w:t>
      </w:r>
      <w:r w:rsidR="0052143A">
        <w:rPr>
          <w:b/>
          <w:bCs/>
        </w:rPr>
        <w:t>–</w:t>
      </w:r>
      <w:r w:rsidRPr="00D3207A">
        <w:rPr>
          <w:b/>
          <w:bCs/>
        </w:rPr>
        <w:t xml:space="preserve"> Comparison against market for contracts with options and guarantees</w:t>
      </w:r>
    </w:p>
    <w:p w14:paraId="66E4AA65" w14:textId="77777777" w:rsidR="00A86489" w:rsidRPr="00D3207A" w:rsidRDefault="00A86489" w:rsidP="005D263F">
      <w:pPr>
        <w:spacing w:after="0"/>
        <w:jc w:val="both"/>
        <w:rPr>
          <w:b/>
          <w:bCs/>
        </w:rPr>
      </w:pPr>
    </w:p>
    <w:p w14:paraId="15F32879" w14:textId="0C56F23E" w:rsidR="003E706A" w:rsidRPr="00D3207A" w:rsidRDefault="003E706A" w:rsidP="005D263F">
      <w:pPr>
        <w:pStyle w:val="ListParagraph"/>
        <w:spacing w:after="0"/>
        <w:jc w:val="both"/>
      </w:pPr>
      <w:r w:rsidRPr="00D3207A">
        <w:t xml:space="preserve">Insurance and reinsurance undertakings should consider whether there is a range of market instruments that are available to approximately replicate the contracts with </w:t>
      </w:r>
      <w:r w:rsidR="00002B22">
        <w:t>inherent</w:t>
      </w:r>
      <w:r w:rsidRPr="00D3207A">
        <w:t xml:space="preserve"> options and guarantees.</w:t>
      </w:r>
      <w:r w:rsidR="006E03C3" w:rsidRPr="00D3207A">
        <w:t xml:space="preserve"> </w:t>
      </w:r>
      <w:r w:rsidRPr="00D3207A">
        <w:t xml:space="preserve">Where available, the </w:t>
      </w:r>
      <w:r w:rsidR="00002B22">
        <w:t>price</w:t>
      </w:r>
      <w:r w:rsidRPr="00D3207A">
        <w:t xml:space="preserve"> of such portfolios should </w:t>
      </w:r>
      <w:r w:rsidRPr="00D3207A">
        <w:lastRenderedPageBreak/>
        <w:t>then be compared against the value of the Technical Provisions, calculated as the sum of the best estimate (calculated using cash-flow projections) and risk margin.</w:t>
      </w:r>
    </w:p>
    <w:p w14:paraId="0DF83A11" w14:textId="633CF401" w:rsidR="00CC41BD" w:rsidRPr="00D3207A" w:rsidRDefault="00CC41BD" w:rsidP="005D263F">
      <w:pPr>
        <w:spacing w:after="0"/>
        <w:jc w:val="both"/>
      </w:pPr>
    </w:p>
    <w:p w14:paraId="3469BEBA" w14:textId="77777777" w:rsidR="0061116A" w:rsidRPr="00D3207A" w:rsidRDefault="0061116A" w:rsidP="005D263F">
      <w:pPr>
        <w:spacing w:after="0"/>
        <w:jc w:val="both"/>
      </w:pPr>
    </w:p>
    <w:p w14:paraId="3224C214" w14:textId="77777777" w:rsidR="00CC41BD" w:rsidRPr="00D3207A" w:rsidRDefault="00CC41BD" w:rsidP="005D263F">
      <w:pPr>
        <w:pStyle w:val="NoSpacing"/>
        <w:jc w:val="center"/>
        <w:rPr>
          <w:b/>
          <w:bCs/>
          <w:sz w:val="22"/>
          <w:szCs w:val="22"/>
        </w:rPr>
      </w:pPr>
      <w:r w:rsidRPr="00D3207A">
        <w:rPr>
          <w:b/>
          <w:bCs/>
          <w:sz w:val="22"/>
          <w:szCs w:val="22"/>
        </w:rPr>
        <w:t>Article III</w:t>
      </w:r>
    </w:p>
    <w:p w14:paraId="47364D1C" w14:textId="1152C88A" w:rsidR="00CC41BD" w:rsidRPr="00D3207A" w:rsidRDefault="00CC41BD" w:rsidP="005D263F">
      <w:pPr>
        <w:pStyle w:val="NoSpacing"/>
        <w:jc w:val="center"/>
        <w:rPr>
          <w:b/>
          <w:bCs/>
          <w:sz w:val="22"/>
          <w:szCs w:val="22"/>
        </w:rPr>
      </w:pPr>
      <w:r w:rsidRPr="00D3207A">
        <w:rPr>
          <w:b/>
          <w:bCs/>
          <w:sz w:val="22"/>
          <w:szCs w:val="22"/>
        </w:rPr>
        <w:t xml:space="preserve">Final </w:t>
      </w:r>
      <w:r w:rsidR="007510AE">
        <w:rPr>
          <w:b/>
          <w:bCs/>
          <w:sz w:val="22"/>
          <w:szCs w:val="22"/>
        </w:rPr>
        <w:t>p</w:t>
      </w:r>
      <w:r w:rsidRPr="00D3207A">
        <w:rPr>
          <w:b/>
          <w:bCs/>
          <w:sz w:val="22"/>
          <w:szCs w:val="22"/>
        </w:rPr>
        <w:t>rovision</w:t>
      </w:r>
    </w:p>
    <w:p w14:paraId="38669FAA" w14:textId="77777777" w:rsidR="009931F6" w:rsidRPr="00D3207A" w:rsidRDefault="009931F6" w:rsidP="005D263F">
      <w:pPr>
        <w:spacing w:after="0"/>
        <w:jc w:val="both"/>
      </w:pPr>
    </w:p>
    <w:p w14:paraId="5C67AC52" w14:textId="3053DA77" w:rsidR="003E706A" w:rsidRPr="00D3207A" w:rsidRDefault="009348FA" w:rsidP="007510AE">
      <w:pPr>
        <w:pStyle w:val="ListParagraph"/>
        <w:spacing w:after="0"/>
        <w:ind w:left="0"/>
      </w:pPr>
      <w:r w:rsidRPr="00D3207A">
        <w:t xml:space="preserve">This Recommendation </w:t>
      </w:r>
      <w:r w:rsidR="003E581F">
        <w:t>becomes effective</w:t>
      </w:r>
      <w:r w:rsidRPr="00D3207A">
        <w:t xml:space="preserve"> on 1 January 2023.</w:t>
      </w:r>
    </w:p>
    <w:p w14:paraId="1FCCC56D" w14:textId="77777777" w:rsidR="006055E2" w:rsidRPr="00D3207A" w:rsidRDefault="006055E2" w:rsidP="005D263F">
      <w:pPr>
        <w:spacing w:after="0"/>
      </w:pPr>
    </w:p>
    <w:p w14:paraId="785AE890" w14:textId="13DA5475" w:rsidR="006055E2" w:rsidRPr="00D3207A" w:rsidRDefault="006055E2" w:rsidP="005D263F">
      <w:pPr>
        <w:spacing w:after="0"/>
      </w:pPr>
    </w:p>
    <w:p w14:paraId="39E6CE24" w14:textId="667F1969" w:rsidR="0085194F" w:rsidRPr="00D3207A" w:rsidRDefault="0085194F" w:rsidP="005D263F">
      <w:pPr>
        <w:spacing w:after="0"/>
      </w:pPr>
    </w:p>
    <w:p w14:paraId="34FEC549" w14:textId="2CE349D4" w:rsidR="0085194F" w:rsidRPr="00D3207A" w:rsidRDefault="0085194F" w:rsidP="005D263F">
      <w:pPr>
        <w:spacing w:after="0"/>
      </w:pPr>
    </w:p>
    <w:p w14:paraId="25CB1F68" w14:textId="7C809505" w:rsidR="0085194F" w:rsidRPr="00D3207A" w:rsidRDefault="0085194F" w:rsidP="005D263F">
      <w:pPr>
        <w:spacing w:after="0"/>
      </w:pPr>
    </w:p>
    <w:p w14:paraId="668D108E" w14:textId="77777777" w:rsidR="0085194F" w:rsidRPr="00D3207A" w:rsidRDefault="0085194F" w:rsidP="005D263F">
      <w:pPr>
        <w:spacing w:after="0"/>
      </w:pPr>
    </w:p>
    <w:p w14:paraId="12B5761A" w14:textId="77777777" w:rsidR="00EA1954" w:rsidRPr="00D3207A" w:rsidRDefault="00EA1954" w:rsidP="005D263F">
      <w:pPr>
        <w:spacing w:after="0"/>
        <w:jc w:val="both"/>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968"/>
      </w:tblGrid>
      <w:tr w:rsidR="003E581F" w:rsidRPr="00D3207A" w14:paraId="209A4282" w14:textId="77777777" w:rsidTr="00C02B1B">
        <w:tc>
          <w:tcPr>
            <w:tcW w:w="4530" w:type="dxa"/>
          </w:tcPr>
          <w:p w14:paraId="7F3C4458" w14:textId="77777777" w:rsidR="003E581F" w:rsidRPr="003B0ADF" w:rsidRDefault="003E581F" w:rsidP="003E581F">
            <w:pPr>
              <w:pStyle w:val="LegislativaOdsek"/>
              <w:autoSpaceDE w:val="0"/>
              <w:autoSpaceDN w:val="0"/>
              <w:adjustRightInd w:val="0"/>
              <w:spacing w:before="0" w:line="276" w:lineRule="auto"/>
              <w:jc w:val="center"/>
              <w:rPr>
                <w:rFonts w:ascii="Cambria" w:hAnsi="Cambria"/>
                <w:b/>
                <w:bCs/>
                <w:sz w:val="22"/>
                <w:szCs w:val="22"/>
              </w:rPr>
            </w:pPr>
            <w:bookmarkStart w:id="14" w:name="_Hlk111539068"/>
            <w:r w:rsidRPr="003B0ADF">
              <w:rPr>
                <w:rFonts w:ascii="Cambria" w:hAnsi="Cambria"/>
                <w:b/>
                <w:bCs/>
                <w:sz w:val="22"/>
                <w:szCs w:val="22"/>
              </w:rPr>
              <w:t xml:space="preserve">Vladimír Dvořáček </w:t>
            </w:r>
          </w:p>
          <w:p w14:paraId="4616E6B8" w14:textId="77777777" w:rsidR="003E581F" w:rsidRPr="003B0ADF" w:rsidRDefault="003E581F" w:rsidP="003E581F">
            <w:pPr>
              <w:pStyle w:val="LegislativaOdsek"/>
              <w:autoSpaceDE w:val="0"/>
              <w:autoSpaceDN w:val="0"/>
              <w:adjustRightInd w:val="0"/>
              <w:spacing w:before="0" w:line="276" w:lineRule="auto"/>
              <w:jc w:val="center"/>
              <w:rPr>
                <w:rFonts w:ascii="Cambria" w:hAnsi="Cambria"/>
                <w:sz w:val="22"/>
                <w:szCs w:val="22"/>
              </w:rPr>
            </w:pPr>
            <w:r w:rsidRPr="003B0ADF">
              <w:rPr>
                <w:rFonts w:ascii="Cambria" w:hAnsi="Cambria"/>
                <w:sz w:val="22"/>
                <w:szCs w:val="22"/>
              </w:rPr>
              <w:t xml:space="preserve">Member of the Bank Board </w:t>
            </w:r>
            <w:r w:rsidRPr="003B0ADF">
              <w:rPr>
                <w:rFonts w:ascii="Cambria" w:hAnsi="Cambria"/>
                <w:sz w:val="22"/>
                <w:szCs w:val="22"/>
              </w:rPr>
              <w:br/>
              <w:t>and Executive Director</w:t>
            </w:r>
          </w:p>
          <w:p w14:paraId="779DF955" w14:textId="77777777" w:rsidR="003E581F" w:rsidRPr="003B0ADF" w:rsidRDefault="003E581F" w:rsidP="003E581F">
            <w:pPr>
              <w:pStyle w:val="LegislativaOdsek"/>
              <w:autoSpaceDE w:val="0"/>
              <w:autoSpaceDN w:val="0"/>
              <w:adjustRightInd w:val="0"/>
              <w:spacing w:before="0" w:line="276" w:lineRule="auto"/>
              <w:jc w:val="center"/>
              <w:rPr>
                <w:rFonts w:ascii="Cambria" w:hAnsi="Cambria"/>
                <w:sz w:val="22"/>
                <w:szCs w:val="22"/>
              </w:rPr>
            </w:pPr>
            <w:r w:rsidRPr="003B0ADF">
              <w:rPr>
                <w:rFonts w:ascii="Cambria" w:hAnsi="Cambria"/>
                <w:sz w:val="22"/>
                <w:szCs w:val="22"/>
              </w:rPr>
              <w:t>Supervision and Financial Stability Division</w:t>
            </w:r>
          </w:p>
          <w:p w14:paraId="02731F94" w14:textId="77777777" w:rsidR="003E581F" w:rsidRPr="003B0ADF" w:rsidRDefault="003E581F" w:rsidP="003E581F">
            <w:pPr>
              <w:pStyle w:val="LegislativaOdsek"/>
              <w:autoSpaceDE w:val="0"/>
              <w:autoSpaceDN w:val="0"/>
              <w:adjustRightInd w:val="0"/>
              <w:spacing w:before="0" w:line="276" w:lineRule="auto"/>
              <w:jc w:val="center"/>
              <w:rPr>
                <w:rFonts w:ascii="Cambria" w:hAnsi="Cambria"/>
                <w:sz w:val="22"/>
                <w:szCs w:val="22"/>
              </w:rPr>
            </w:pPr>
            <w:r w:rsidRPr="003B0ADF">
              <w:rPr>
                <w:rFonts w:ascii="Cambria" w:hAnsi="Cambria"/>
                <w:sz w:val="22"/>
                <w:szCs w:val="22"/>
              </w:rPr>
              <w:t>Financial Market Supervision Units</w:t>
            </w:r>
          </w:p>
          <w:p w14:paraId="158F213F" w14:textId="77777777" w:rsidR="003E581F" w:rsidRPr="003B0ADF" w:rsidRDefault="003E581F" w:rsidP="003E581F">
            <w:pPr>
              <w:pStyle w:val="LegislativaOdsek"/>
              <w:autoSpaceDE w:val="0"/>
              <w:autoSpaceDN w:val="0"/>
              <w:adjustRightInd w:val="0"/>
              <w:spacing w:before="0" w:line="276" w:lineRule="auto"/>
              <w:jc w:val="center"/>
              <w:rPr>
                <w:rFonts w:ascii="Cambria" w:hAnsi="Cambria"/>
                <w:sz w:val="22"/>
                <w:szCs w:val="22"/>
              </w:rPr>
            </w:pPr>
            <w:r w:rsidRPr="003B0ADF">
              <w:rPr>
                <w:rFonts w:ascii="Cambria" w:hAnsi="Cambria"/>
                <w:sz w:val="22"/>
                <w:szCs w:val="22"/>
              </w:rPr>
              <w:t>Národná banka Slovenska</w:t>
            </w:r>
            <w:bookmarkEnd w:id="14"/>
          </w:p>
          <w:p w14:paraId="50505B77" w14:textId="77777777" w:rsidR="003E581F" w:rsidRPr="00D3207A" w:rsidRDefault="003E581F" w:rsidP="003E581F">
            <w:pPr>
              <w:tabs>
                <w:tab w:val="left" w:pos="851"/>
              </w:tabs>
              <w:autoSpaceDE w:val="0"/>
              <w:autoSpaceDN w:val="0"/>
              <w:adjustRightInd w:val="0"/>
              <w:jc w:val="center"/>
              <w:rPr>
                <w:szCs w:val="22"/>
              </w:rPr>
            </w:pPr>
          </w:p>
        </w:tc>
        <w:tc>
          <w:tcPr>
            <w:tcW w:w="4968" w:type="dxa"/>
          </w:tcPr>
          <w:p w14:paraId="2EFB355F" w14:textId="77777777" w:rsidR="003E581F" w:rsidRPr="003B0ADF" w:rsidRDefault="003E581F" w:rsidP="003E581F">
            <w:pPr>
              <w:pStyle w:val="LegislativaOdsek"/>
              <w:autoSpaceDE w:val="0"/>
              <w:autoSpaceDN w:val="0"/>
              <w:adjustRightInd w:val="0"/>
              <w:spacing w:before="0" w:line="276" w:lineRule="auto"/>
              <w:jc w:val="center"/>
              <w:rPr>
                <w:rFonts w:ascii="Cambria" w:hAnsi="Cambria"/>
                <w:b/>
                <w:bCs/>
                <w:sz w:val="22"/>
                <w:szCs w:val="22"/>
              </w:rPr>
            </w:pPr>
            <w:r w:rsidRPr="003B0ADF">
              <w:rPr>
                <w:rFonts w:ascii="Cambria" w:hAnsi="Cambria"/>
                <w:b/>
                <w:bCs/>
                <w:sz w:val="22"/>
                <w:szCs w:val="22"/>
              </w:rPr>
              <w:t>Júlia Čillíková</w:t>
            </w:r>
          </w:p>
          <w:p w14:paraId="763B52ED" w14:textId="77777777" w:rsidR="003E581F" w:rsidRPr="003B0ADF" w:rsidRDefault="003E581F" w:rsidP="003E581F">
            <w:pPr>
              <w:pStyle w:val="LegislativaOdsek"/>
              <w:autoSpaceDE w:val="0"/>
              <w:autoSpaceDN w:val="0"/>
              <w:adjustRightInd w:val="0"/>
              <w:spacing w:before="0" w:line="276" w:lineRule="auto"/>
              <w:jc w:val="center"/>
              <w:rPr>
                <w:rFonts w:ascii="Cambria" w:hAnsi="Cambria"/>
                <w:sz w:val="22"/>
                <w:szCs w:val="22"/>
              </w:rPr>
            </w:pPr>
            <w:r w:rsidRPr="003B0ADF">
              <w:rPr>
                <w:rFonts w:ascii="Cambria" w:hAnsi="Cambria"/>
                <w:sz w:val="22"/>
                <w:szCs w:val="22"/>
              </w:rPr>
              <w:t>Executive Director</w:t>
            </w:r>
            <w:r w:rsidRPr="003B0ADF">
              <w:rPr>
                <w:rFonts w:ascii="Cambria" w:hAnsi="Cambria"/>
                <w:sz w:val="22"/>
                <w:szCs w:val="22"/>
              </w:rPr>
              <w:br/>
              <w:t xml:space="preserve">Supervision and Financial Consumer </w:t>
            </w:r>
            <w:r w:rsidRPr="003B0ADF">
              <w:rPr>
                <w:rFonts w:ascii="Cambria" w:hAnsi="Cambria"/>
                <w:sz w:val="22"/>
                <w:szCs w:val="22"/>
              </w:rPr>
              <w:br/>
              <w:t>Protection Division</w:t>
            </w:r>
          </w:p>
          <w:p w14:paraId="5CE950FF" w14:textId="77777777" w:rsidR="003E581F" w:rsidRPr="003B0ADF" w:rsidRDefault="003E581F" w:rsidP="003E581F">
            <w:pPr>
              <w:pStyle w:val="LegislativaOdsek"/>
              <w:autoSpaceDE w:val="0"/>
              <w:autoSpaceDN w:val="0"/>
              <w:adjustRightInd w:val="0"/>
              <w:spacing w:before="0" w:line="276" w:lineRule="auto"/>
              <w:jc w:val="center"/>
              <w:rPr>
                <w:rFonts w:ascii="Cambria" w:hAnsi="Cambria"/>
                <w:sz w:val="22"/>
                <w:szCs w:val="22"/>
              </w:rPr>
            </w:pPr>
            <w:r w:rsidRPr="003B0ADF">
              <w:rPr>
                <w:rFonts w:ascii="Cambria" w:hAnsi="Cambria"/>
                <w:sz w:val="22"/>
                <w:szCs w:val="22"/>
              </w:rPr>
              <w:t>Financial Market Supervision Units</w:t>
            </w:r>
          </w:p>
          <w:p w14:paraId="762EA443" w14:textId="76609C71" w:rsidR="003E581F" w:rsidRPr="003B0ADF" w:rsidRDefault="003E581F" w:rsidP="003E581F">
            <w:pPr>
              <w:pStyle w:val="LegislativaOdsek"/>
              <w:autoSpaceDE w:val="0"/>
              <w:autoSpaceDN w:val="0"/>
              <w:adjustRightInd w:val="0"/>
              <w:spacing w:before="0" w:line="276" w:lineRule="auto"/>
              <w:jc w:val="center"/>
              <w:rPr>
                <w:rFonts w:ascii="Cambria" w:hAnsi="Cambria"/>
                <w:sz w:val="22"/>
                <w:szCs w:val="22"/>
              </w:rPr>
            </w:pPr>
            <w:r w:rsidRPr="003B0ADF">
              <w:rPr>
                <w:rFonts w:ascii="Cambria" w:hAnsi="Cambria"/>
                <w:sz w:val="22"/>
                <w:szCs w:val="22"/>
              </w:rPr>
              <w:t>Národná banka Slovenska</w:t>
            </w:r>
          </w:p>
          <w:p w14:paraId="3583E94F" w14:textId="77777777" w:rsidR="003E581F" w:rsidRPr="00D3207A" w:rsidRDefault="003E581F" w:rsidP="003E581F">
            <w:pPr>
              <w:tabs>
                <w:tab w:val="left" w:pos="851"/>
              </w:tabs>
              <w:autoSpaceDE w:val="0"/>
              <w:autoSpaceDN w:val="0"/>
              <w:adjustRightInd w:val="0"/>
              <w:jc w:val="center"/>
              <w:rPr>
                <w:szCs w:val="22"/>
              </w:rPr>
            </w:pPr>
          </w:p>
        </w:tc>
      </w:tr>
    </w:tbl>
    <w:p w14:paraId="110880CA" w14:textId="65103855" w:rsidR="005516CA" w:rsidRPr="00D3207A" w:rsidRDefault="005516CA" w:rsidP="005D263F">
      <w:pPr>
        <w:spacing w:after="0"/>
        <w:rPr>
          <w:b/>
          <w:bCs/>
        </w:rPr>
      </w:pPr>
    </w:p>
    <w:p w14:paraId="12E3118D" w14:textId="25F57DD9" w:rsidR="00F74BF2" w:rsidRPr="00D3207A" w:rsidRDefault="00F74BF2" w:rsidP="005D263F">
      <w:pPr>
        <w:spacing w:after="0"/>
        <w:jc w:val="both"/>
      </w:pPr>
    </w:p>
    <w:sectPr w:rsidR="00F74BF2" w:rsidRPr="00D3207A" w:rsidSect="00A94723">
      <w:headerReference w:type="first" r:id="rId12"/>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Mrvová Zuzana" w:date="2022-10-20T11:51:00Z" w:initials="MZ">
    <w:p w14:paraId="5449B7F5" w14:textId="69B6B366" w:rsidR="00D3207A" w:rsidRDefault="00D3207A">
      <w:pPr>
        <w:pStyle w:val="CommentText"/>
      </w:pPr>
      <w:r>
        <w:rPr>
          <w:rStyle w:val="CommentReference"/>
        </w:rPr>
        <w:annotationRef/>
      </w:r>
      <w:r>
        <w:t>? overheads</w:t>
      </w:r>
    </w:p>
  </w:comment>
  <w:comment w:id="3" w:author="Mrvová Zuzana" w:date="2022-10-20T12:10:00Z" w:initials="MZ">
    <w:p w14:paraId="21A327E1" w14:textId="268401D7" w:rsidR="00AF4D0D" w:rsidRDefault="00AF4D0D">
      <w:pPr>
        <w:pStyle w:val="CommentText"/>
      </w:pPr>
      <w:r>
        <w:rPr>
          <w:rStyle w:val="CommentReference"/>
        </w:rPr>
        <w:annotationRef/>
      </w:r>
      <w:r>
        <w:t>? overhead expenses</w:t>
      </w:r>
    </w:p>
  </w:comment>
  <w:comment w:id="4" w:author="Mrvová Zuzana" w:date="2022-10-20T12:10:00Z" w:initials="MZ">
    <w:p w14:paraId="6754EEC5" w14:textId="7E583FDC" w:rsidR="00AF4D0D" w:rsidRDefault="00AF4D0D">
      <w:pPr>
        <w:pStyle w:val="CommentText"/>
      </w:pPr>
      <w:r>
        <w:rPr>
          <w:rStyle w:val="CommentReference"/>
        </w:rPr>
        <w:annotationRef/>
      </w:r>
      <w:r>
        <w:t>? expenses</w:t>
      </w:r>
    </w:p>
  </w:comment>
  <w:comment w:id="5" w:author="Mrvová Zuzana" w:date="2022-10-24T14:18:00Z" w:initials="MZ">
    <w:p w14:paraId="0BABD69F" w14:textId="77777777" w:rsidR="0028755A" w:rsidRDefault="0028755A">
      <w:pPr>
        <w:pStyle w:val="CommentText"/>
      </w:pPr>
      <w:r>
        <w:rPr>
          <w:rStyle w:val="CommentReference"/>
        </w:rPr>
        <w:annotationRef/>
      </w:r>
      <w:r>
        <w:t>V SK je “vykonávacích nariadení” – nezadefinovaný pojem</w:t>
      </w:r>
    </w:p>
    <w:p w14:paraId="132D5E04" w14:textId="7AEE9811" w:rsidR="008C62B0" w:rsidRDefault="008C62B0">
      <w:pPr>
        <w:pStyle w:val="CommentText"/>
      </w:pPr>
      <w:r>
        <w:t>Je to na viacerých miestach v texte – vyznačených poznámkou na okraji “V SK detto”.</w:t>
      </w:r>
    </w:p>
  </w:comment>
  <w:comment w:id="6" w:author="Mrvová Zuzana" w:date="2022-10-24T14:19:00Z" w:initials="MZ">
    <w:p w14:paraId="01BF58B4" w14:textId="62D0A613" w:rsidR="0028755A" w:rsidRDefault="0028755A">
      <w:pPr>
        <w:pStyle w:val="CommentText"/>
      </w:pPr>
      <w:r>
        <w:rPr>
          <w:rStyle w:val="CommentReference"/>
        </w:rPr>
        <w:annotationRef/>
      </w:r>
      <w:r>
        <w:t>V SK detto</w:t>
      </w:r>
    </w:p>
  </w:comment>
  <w:comment w:id="7" w:author="Mrvová Zuzana" w:date="2022-10-24T14:20:00Z" w:initials="MZ">
    <w:p w14:paraId="67C6BE77" w14:textId="3FD7ECE6" w:rsidR="0028755A" w:rsidRDefault="0028755A">
      <w:pPr>
        <w:pStyle w:val="CommentText"/>
      </w:pPr>
      <w:r>
        <w:rPr>
          <w:rStyle w:val="CommentReference"/>
        </w:rPr>
        <w:annotationRef/>
      </w:r>
      <w:r>
        <w:t>V SK detto</w:t>
      </w:r>
    </w:p>
  </w:comment>
  <w:comment w:id="8" w:author="Mrvová Zuzana" w:date="2022-10-24T14:21:00Z" w:initials="MZ">
    <w:p w14:paraId="59A816FC" w14:textId="79984618" w:rsidR="0028755A" w:rsidRDefault="0028755A">
      <w:pPr>
        <w:pStyle w:val="CommentText"/>
      </w:pPr>
      <w:r>
        <w:rPr>
          <w:rStyle w:val="CommentReference"/>
        </w:rPr>
        <w:annotationRef/>
      </w:r>
      <w:r>
        <w:t>V SK detto</w:t>
      </w:r>
    </w:p>
  </w:comment>
  <w:comment w:id="9" w:author="Mrvová Zuzana" w:date="2022-10-24T14:22:00Z" w:initials="MZ">
    <w:p w14:paraId="2CA1C365" w14:textId="7ACFBAB8" w:rsidR="00D05290" w:rsidRDefault="00D05290">
      <w:pPr>
        <w:pStyle w:val="CommentText"/>
      </w:pPr>
      <w:r>
        <w:rPr>
          <w:rStyle w:val="CommentReference"/>
        </w:rPr>
        <w:annotationRef/>
      </w:r>
      <w:r>
        <w:t>V SK detto</w:t>
      </w:r>
    </w:p>
  </w:comment>
  <w:comment w:id="10" w:author="Mrvová Zuzana" w:date="2022-10-24T14:23:00Z" w:initials="MZ">
    <w:p w14:paraId="0E3B31A3" w14:textId="5118EF6C" w:rsidR="00D05290" w:rsidRDefault="00D05290">
      <w:pPr>
        <w:pStyle w:val="CommentText"/>
      </w:pPr>
      <w:r>
        <w:rPr>
          <w:rStyle w:val="CommentReference"/>
        </w:rPr>
        <w:annotationRef/>
      </w:r>
      <w:r>
        <w:t>V SK detto</w:t>
      </w:r>
    </w:p>
  </w:comment>
  <w:comment w:id="11" w:author="Mrvová Zuzana" w:date="2022-10-24T14:23:00Z" w:initials="MZ">
    <w:p w14:paraId="44A5EBA9" w14:textId="4E6C23F8" w:rsidR="00D05290" w:rsidRDefault="00D05290">
      <w:pPr>
        <w:pStyle w:val="CommentText"/>
      </w:pPr>
      <w:r>
        <w:rPr>
          <w:rStyle w:val="CommentReference"/>
        </w:rPr>
        <w:annotationRef/>
      </w:r>
      <w:r>
        <w:t>V SK detto</w:t>
      </w:r>
    </w:p>
  </w:comment>
  <w:comment w:id="12" w:author="Mrvová Zuzana" w:date="2022-10-24T14:24:00Z" w:initials="MZ">
    <w:p w14:paraId="25ACD157" w14:textId="6F406CD4" w:rsidR="00D05290" w:rsidRDefault="00D05290">
      <w:pPr>
        <w:pStyle w:val="CommentText"/>
      </w:pPr>
      <w:r>
        <w:rPr>
          <w:rStyle w:val="CommentReference"/>
        </w:rPr>
        <w:annotationRef/>
      </w:r>
      <w:r>
        <w:t>V SK detto</w:t>
      </w:r>
    </w:p>
  </w:comment>
  <w:comment w:id="13" w:author="Mrvová Zuzana" w:date="2022-10-24T14:25:00Z" w:initials="MZ">
    <w:p w14:paraId="159BEC17" w14:textId="203A39DE" w:rsidR="00D05290" w:rsidRDefault="00D05290">
      <w:pPr>
        <w:pStyle w:val="CommentText"/>
      </w:pPr>
      <w:r>
        <w:rPr>
          <w:rStyle w:val="CommentReference"/>
        </w:rPr>
        <w:annotationRef/>
      </w:r>
      <w:r>
        <w:t>V SK detto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49B7F5" w15:done="0"/>
  <w15:commentEx w15:paraId="21A327E1" w15:done="0"/>
  <w15:commentEx w15:paraId="6754EEC5" w15:done="0"/>
  <w15:commentEx w15:paraId="132D5E04" w15:done="0"/>
  <w15:commentEx w15:paraId="01BF58B4" w15:done="0"/>
  <w15:commentEx w15:paraId="67C6BE77" w15:done="0"/>
  <w15:commentEx w15:paraId="59A816FC" w15:done="0"/>
  <w15:commentEx w15:paraId="2CA1C365" w15:done="0"/>
  <w15:commentEx w15:paraId="0E3B31A3" w15:done="0"/>
  <w15:commentEx w15:paraId="44A5EBA9" w15:done="0"/>
  <w15:commentEx w15:paraId="25ACD157" w15:done="0"/>
  <w15:commentEx w15:paraId="159BEC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BB4CF" w16cex:dateUtc="2022-10-20T09:51:00Z"/>
  <w16cex:commentExtensible w16cex:durableId="26FBB91B" w16cex:dateUtc="2022-10-20T10:10:00Z"/>
  <w16cex:commentExtensible w16cex:durableId="26FBB943" w16cex:dateUtc="2022-10-20T10:10:00Z"/>
  <w16cex:commentExtensible w16cex:durableId="27011D3C" w16cex:dateUtc="2022-10-24T12:18:00Z"/>
  <w16cex:commentExtensible w16cex:durableId="27011D87" w16cex:dateUtc="2022-10-24T12:19:00Z"/>
  <w16cex:commentExtensible w16cex:durableId="27011DB4" w16cex:dateUtc="2022-10-24T12:20:00Z"/>
  <w16cex:commentExtensible w16cex:durableId="27011DD4" w16cex:dateUtc="2022-10-24T12:21:00Z"/>
  <w16cex:commentExtensible w16cex:durableId="27011E1E" w16cex:dateUtc="2022-10-24T12:22:00Z"/>
  <w16cex:commentExtensible w16cex:durableId="27011E5F" w16cex:dateUtc="2022-10-24T12:23:00Z"/>
  <w16cex:commentExtensible w16cex:durableId="27011E69" w16cex:dateUtc="2022-10-24T12:23:00Z"/>
  <w16cex:commentExtensible w16cex:durableId="27011E96" w16cex:dateUtc="2022-10-24T12:24:00Z"/>
  <w16cex:commentExtensible w16cex:durableId="27011ECD" w16cex:dateUtc="2022-10-24T1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49B7F5" w16cid:durableId="26FBB4CF"/>
  <w16cid:commentId w16cid:paraId="21A327E1" w16cid:durableId="26FBB91B"/>
  <w16cid:commentId w16cid:paraId="6754EEC5" w16cid:durableId="26FBB943"/>
  <w16cid:commentId w16cid:paraId="132D5E04" w16cid:durableId="27011D3C"/>
  <w16cid:commentId w16cid:paraId="01BF58B4" w16cid:durableId="27011D87"/>
  <w16cid:commentId w16cid:paraId="67C6BE77" w16cid:durableId="27011DB4"/>
  <w16cid:commentId w16cid:paraId="59A816FC" w16cid:durableId="27011DD4"/>
  <w16cid:commentId w16cid:paraId="2CA1C365" w16cid:durableId="27011E1E"/>
  <w16cid:commentId w16cid:paraId="0E3B31A3" w16cid:durableId="27011E5F"/>
  <w16cid:commentId w16cid:paraId="44A5EBA9" w16cid:durableId="27011E69"/>
  <w16cid:commentId w16cid:paraId="25ACD157" w16cid:durableId="27011E96"/>
  <w16cid:commentId w16cid:paraId="159BEC17" w16cid:durableId="27011E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41977" w14:textId="77777777" w:rsidR="006A2E77" w:rsidRDefault="006A2E77" w:rsidP="0009480D">
      <w:pPr>
        <w:spacing w:after="0" w:line="240" w:lineRule="auto"/>
      </w:pPr>
      <w:r>
        <w:separator/>
      </w:r>
    </w:p>
  </w:endnote>
  <w:endnote w:type="continuationSeparator" w:id="0">
    <w:p w14:paraId="31DCC5DA" w14:textId="77777777" w:rsidR="006A2E77" w:rsidRDefault="006A2E77" w:rsidP="0009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D0D32" w14:textId="77777777" w:rsidR="006A2E77" w:rsidRDefault="006A2E77" w:rsidP="0009480D">
      <w:pPr>
        <w:spacing w:after="0" w:line="240" w:lineRule="auto"/>
      </w:pPr>
      <w:r>
        <w:separator/>
      </w:r>
    </w:p>
  </w:footnote>
  <w:footnote w:type="continuationSeparator" w:id="0">
    <w:p w14:paraId="41FAD016" w14:textId="77777777" w:rsidR="006A2E77" w:rsidRDefault="006A2E77" w:rsidP="00094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D1ADB" w14:textId="4EC1332B" w:rsidR="006055E2" w:rsidRDefault="006055E2" w:rsidP="006055E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2522"/>
    <w:multiLevelType w:val="hybridMultilevel"/>
    <w:tmpl w:val="6B46BF0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D5408B"/>
    <w:multiLevelType w:val="hybridMultilevel"/>
    <w:tmpl w:val="CCCAFB1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DF3EEB"/>
    <w:multiLevelType w:val="hybridMultilevel"/>
    <w:tmpl w:val="DD1CF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FE47BA"/>
    <w:multiLevelType w:val="hybridMultilevel"/>
    <w:tmpl w:val="A184E846"/>
    <w:lvl w:ilvl="0" w:tplc="EA56A1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4C54A4"/>
    <w:multiLevelType w:val="hybridMultilevel"/>
    <w:tmpl w:val="C60A23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7A1CC7"/>
    <w:multiLevelType w:val="hybridMultilevel"/>
    <w:tmpl w:val="F38CFC62"/>
    <w:lvl w:ilvl="0" w:tplc="041B000F">
      <w:start w:val="1"/>
      <w:numFmt w:val="decimal"/>
      <w:lvlText w:val="%1."/>
      <w:lvlJc w:val="left"/>
      <w:pPr>
        <w:ind w:left="720" w:hanging="360"/>
      </w:pPr>
    </w:lvl>
    <w:lvl w:ilvl="1" w:tplc="FD6A72C2">
      <w:start w:val="1"/>
      <w:numFmt w:val="lowerLetter"/>
      <w:lvlText w:val="%2."/>
      <w:lvlJc w:val="left"/>
      <w:pPr>
        <w:ind w:left="1440" w:hanging="360"/>
      </w:pPr>
      <w:rPr>
        <w:rFonts w:ascii="Cambria" w:eastAsiaTheme="minorHAnsi" w:hAnsi="Cambria" w:cstheme="minorBidi"/>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6A52878"/>
    <w:multiLevelType w:val="hybridMultilevel"/>
    <w:tmpl w:val="5A58359E"/>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076D079D"/>
    <w:multiLevelType w:val="hybridMultilevel"/>
    <w:tmpl w:val="A86A88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773879"/>
    <w:multiLevelType w:val="hybridMultilevel"/>
    <w:tmpl w:val="9DE01D0C"/>
    <w:lvl w:ilvl="0" w:tplc="A6FECBD0">
      <w:start w:val="1"/>
      <w:numFmt w:val="lowerLetter"/>
      <w:lvlText w:val="%1)"/>
      <w:lvlJc w:val="left"/>
      <w:pPr>
        <w:ind w:left="720" w:hanging="360"/>
      </w:pPr>
      <w:rPr>
        <w:rFonts w:ascii="Cambria" w:eastAsiaTheme="minorHAnsi" w:hAnsi="Cambria"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3C53D5"/>
    <w:multiLevelType w:val="hybridMultilevel"/>
    <w:tmpl w:val="A8A8E9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C513C80"/>
    <w:multiLevelType w:val="hybridMultilevel"/>
    <w:tmpl w:val="9684F13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14664A"/>
    <w:multiLevelType w:val="hybridMultilevel"/>
    <w:tmpl w:val="EC68CF90"/>
    <w:lvl w:ilvl="0" w:tplc="FFFFFFFF">
      <w:start w:val="1"/>
      <w:numFmt w:val="decimal"/>
      <w:lvlText w:val="%1."/>
      <w:lvlJc w:val="left"/>
      <w:pPr>
        <w:ind w:left="720" w:hanging="360"/>
      </w:pPr>
    </w:lvl>
    <w:lvl w:ilvl="1" w:tplc="FFFFFFFF">
      <w:start w:val="1"/>
      <w:numFmt w:val="lowerLetter"/>
      <w:lvlText w:val="%2)"/>
      <w:lvlJc w:val="left"/>
      <w:pPr>
        <w:ind w:left="1211" w:hanging="360"/>
      </w:pPr>
      <w:rPr>
        <w:rFonts w:ascii="Cambria" w:eastAsiaTheme="minorHAnsi" w:hAnsi="Cambria" w:cstheme="minorBid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D22774E"/>
    <w:multiLevelType w:val="hybridMultilevel"/>
    <w:tmpl w:val="8D2E818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E810DDE"/>
    <w:multiLevelType w:val="hybridMultilevel"/>
    <w:tmpl w:val="073264B2"/>
    <w:lvl w:ilvl="0" w:tplc="041B000F">
      <w:start w:val="1"/>
      <w:numFmt w:val="decimal"/>
      <w:lvlText w:val="%1."/>
      <w:lvlJc w:val="left"/>
      <w:pPr>
        <w:ind w:left="720" w:hanging="360"/>
      </w:pPr>
    </w:lvl>
    <w:lvl w:ilvl="1" w:tplc="041B0017">
      <w:start w:val="1"/>
      <w:numFmt w:val="lowerLetter"/>
      <w:lvlText w:val="%2)"/>
      <w:lvlJc w:val="left"/>
      <w:pPr>
        <w:ind w:left="1485" w:hanging="4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F304A48"/>
    <w:multiLevelType w:val="hybridMultilevel"/>
    <w:tmpl w:val="EACAE5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F666A56"/>
    <w:multiLevelType w:val="hybridMultilevel"/>
    <w:tmpl w:val="896A141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0C34686"/>
    <w:multiLevelType w:val="hybridMultilevel"/>
    <w:tmpl w:val="8D0A39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5A04F7"/>
    <w:multiLevelType w:val="hybridMultilevel"/>
    <w:tmpl w:val="35240A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3957004"/>
    <w:multiLevelType w:val="hybridMultilevel"/>
    <w:tmpl w:val="FE1C1DF2"/>
    <w:lvl w:ilvl="0" w:tplc="A6FECBD0">
      <w:start w:val="1"/>
      <w:numFmt w:val="lowerLetter"/>
      <w:lvlText w:val="%1)"/>
      <w:lvlJc w:val="left"/>
      <w:pPr>
        <w:ind w:left="720" w:hanging="360"/>
      </w:pPr>
      <w:rPr>
        <w:rFonts w:ascii="Cambria" w:eastAsiaTheme="minorHAnsi" w:hAnsi="Cambria"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39B4846"/>
    <w:multiLevelType w:val="hybridMultilevel"/>
    <w:tmpl w:val="B448AB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4163A2C"/>
    <w:multiLevelType w:val="hybridMultilevel"/>
    <w:tmpl w:val="E63073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54934BA"/>
    <w:multiLevelType w:val="hybridMultilevel"/>
    <w:tmpl w:val="E37495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56B64E2"/>
    <w:multiLevelType w:val="hybridMultilevel"/>
    <w:tmpl w:val="767029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679493E"/>
    <w:multiLevelType w:val="hybridMultilevel"/>
    <w:tmpl w:val="3942F24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7B65450"/>
    <w:multiLevelType w:val="hybridMultilevel"/>
    <w:tmpl w:val="A8C0437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81B0847"/>
    <w:multiLevelType w:val="hybridMultilevel"/>
    <w:tmpl w:val="8550B4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9F575E8"/>
    <w:multiLevelType w:val="hybridMultilevel"/>
    <w:tmpl w:val="4F4816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B0A13F6"/>
    <w:multiLevelType w:val="hybridMultilevel"/>
    <w:tmpl w:val="8E98E5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E182DC0"/>
    <w:multiLevelType w:val="hybridMultilevel"/>
    <w:tmpl w:val="E62CED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F0D674B"/>
    <w:multiLevelType w:val="hybridMultilevel"/>
    <w:tmpl w:val="FA30BB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FFD52E4"/>
    <w:multiLevelType w:val="hybridMultilevel"/>
    <w:tmpl w:val="861667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2B268B"/>
    <w:multiLevelType w:val="hybridMultilevel"/>
    <w:tmpl w:val="DB2CB9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1667814"/>
    <w:multiLevelType w:val="hybridMultilevel"/>
    <w:tmpl w:val="9B9AE02E"/>
    <w:lvl w:ilvl="0" w:tplc="9228A9A2">
      <w:start w:val="1"/>
      <w:numFmt w:val="decimal"/>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23C0D61"/>
    <w:multiLevelType w:val="hybridMultilevel"/>
    <w:tmpl w:val="0E2E7F3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2555A1A"/>
    <w:multiLevelType w:val="hybridMultilevel"/>
    <w:tmpl w:val="CA48AB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63509C8"/>
    <w:multiLevelType w:val="hybridMultilevel"/>
    <w:tmpl w:val="A04E3C80"/>
    <w:lvl w:ilvl="0" w:tplc="4A3C58F2">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6" w15:restartNumberingAfterBreak="0">
    <w:nsid w:val="26F3678E"/>
    <w:multiLevelType w:val="hybridMultilevel"/>
    <w:tmpl w:val="E47AA01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AE12F7F"/>
    <w:multiLevelType w:val="hybridMultilevel"/>
    <w:tmpl w:val="B8E01D0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AF83442"/>
    <w:multiLevelType w:val="hybridMultilevel"/>
    <w:tmpl w:val="F4C849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BDD0711"/>
    <w:multiLevelType w:val="hybridMultilevel"/>
    <w:tmpl w:val="8D0471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BE07017"/>
    <w:multiLevelType w:val="hybridMultilevel"/>
    <w:tmpl w:val="F30243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C241FDA"/>
    <w:multiLevelType w:val="hybridMultilevel"/>
    <w:tmpl w:val="5C84A1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DEE3814"/>
    <w:multiLevelType w:val="hybridMultilevel"/>
    <w:tmpl w:val="12CA1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FA4619A"/>
    <w:multiLevelType w:val="hybridMultilevel"/>
    <w:tmpl w:val="288E5E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AE6FEA"/>
    <w:multiLevelType w:val="hybridMultilevel"/>
    <w:tmpl w:val="D5C43F18"/>
    <w:lvl w:ilvl="0" w:tplc="041B000F">
      <w:start w:val="1"/>
      <w:numFmt w:val="decimal"/>
      <w:lvlText w:val="%1."/>
      <w:lvlJc w:val="left"/>
      <w:pPr>
        <w:ind w:left="720" w:hanging="360"/>
      </w:pPr>
    </w:lvl>
    <w:lvl w:ilvl="1" w:tplc="06647374">
      <w:start w:val="1"/>
      <w:numFmt w:val="bullet"/>
      <w:lvlText w:val="-"/>
      <w:lvlJc w:val="left"/>
      <w:pPr>
        <w:ind w:left="1440" w:hanging="360"/>
      </w:pPr>
      <w:rPr>
        <w:rFonts w:ascii="Cambria" w:eastAsiaTheme="minorHAnsi" w:hAnsi="Cambria" w:cstheme="minorBidi" w:hint="default"/>
      </w:rPr>
    </w:lvl>
    <w:lvl w:ilvl="2" w:tplc="A6FECBD0">
      <w:start w:val="1"/>
      <w:numFmt w:val="lowerLetter"/>
      <w:lvlText w:val="%3)"/>
      <w:lvlJc w:val="left"/>
      <w:pPr>
        <w:ind w:left="2340" w:hanging="360"/>
      </w:pPr>
      <w:rPr>
        <w:rFonts w:ascii="Cambria" w:eastAsiaTheme="minorHAnsi" w:hAnsi="Cambria" w:cstheme="minorBidi"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12102A2"/>
    <w:multiLevelType w:val="hybridMultilevel"/>
    <w:tmpl w:val="7422D9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17B036A"/>
    <w:multiLevelType w:val="hybridMultilevel"/>
    <w:tmpl w:val="38267F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61756D9"/>
    <w:multiLevelType w:val="hybridMultilevel"/>
    <w:tmpl w:val="2CC4E01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6551C8C"/>
    <w:multiLevelType w:val="hybridMultilevel"/>
    <w:tmpl w:val="9E98BF0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9A6576C"/>
    <w:multiLevelType w:val="hybridMultilevel"/>
    <w:tmpl w:val="363642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B932F95"/>
    <w:multiLevelType w:val="hybridMultilevel"/>
    <w:tmpl w:val="631A5F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C8F7BC2"/>
    <w:multiLevelType w:val="hybridMultilevel"/>
    <w:tmpl w:val="1450C2A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D663631"/>
    <w:multiLevelType w:val="hybridMultilevel"/>
    <w:tmpl w:val="61AA354A"/>
    <w:lvl w:ilvl="0" w:tplc="041B000F">
      <w:start w:val="1"/>
      <w:numFmt w:val="decimal"/>
      <w:lvlText w:val="%1."/>
      <w:lvlJc w:val="left"/>
      <w:pPr>
        <w:ind w:left="720" w:hanging="360"/>
      </w:pPr>
    </w:lvl>
    <w:lvl w:ilvl="1" w:tplc="A6FECBD0">
      <w:start w:val="1"/>
      <w:numFmt w:val="lowerLetter"/>
      <w:lvlText w:val="%2)"/>
      <w:lvlJc w:val="left"/>
      <w:pPr>
        <w:ind w:left="1440" w:hanging="360"/>
      </w:pPr>
      <w:rPr>
        <w:rFonts w:ascii="Cambria" w:eastAsiaTheme="minorHAnsi" w:hAnsi="Cambria" w:cstheme="minorBidi"/>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06069A4"/>
    <w:multiLevelType w:val="hybridMultilevel"/>
    <w:tmpl w:val="041298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1907871"/>
    <w:multiLevelType w:val="hybridMultilevel"/>
    <w:tmpl w:val="CE4A82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35978D6"/>
    <w:multiLevelType w:val="hybridMultilevel"/>
    <w:tmpl w:val="F31AB85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47C01E4"/>
    <w:multiLevelType w:val="hybridMultilevel"/>
    <w:tmpl w:val="7AF8FED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6322AB3"/>
    <w:multiLevelType w:val="hybridMultilevel"/>
    <w:tmpl w:val="8DC8C9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6945748"/>
    <w:multiLevelType w:val="hybridMultilevel"/>
    <w:tmpl w:val="811CA2EA"/>
    <w:lvl w:ilvl="0" w:tplc="633ED276">
      <w:start w:val="1"/>
      <w:numFmt w:val="bullet"/>
      <w:lvlText w:val=""/>
      <w:lvlJc w:val="left"/>
      <w:pPr>
        <w:ind w:left="1428"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4897"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48D600D7"/>
    <w:multiLevelType w:val="hybridMultilevel"/>
    <w:tmpl w:val="ADF28C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A264DC4"/>
    <w:multiLevelType w:val="hybridMultilevel"/>
    <w:tmpl w:val="C88A0A4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B2C1EA9"/>
    <w:multiLevelType w:val="hybridMultilevel"/>
    <w:tmpl w:val="D06AF1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C936638"/>
    <w:multiLevelType w:val="hybridMultilevel"/>
    <w:tmpl w:val="674085D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DC127CB"/>
    <w:multiLevelType w:val="hybridMultilevel"/>
    <w:tmpl w:val="B704A1E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4EC6569B"/>
    <w:multiLevelType w:val="hybridMultilevel"/>
    <w:tmpl w:val="6B7025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FC6E56"/>
    <w:multiLevelType w:val="multilevel"/>
    <w:tmpl w:val="5F829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4FE67939"/>
    <w:multiLevelType w:val="hybridMultilevel"/>
    <w:tmpl w:val="89FC04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0121866"/>
    <w:multiLevelType w:val="hybridMultilevel"/>
    <w:tmpl w:val="5E1A69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01450C5"/>
    <w:multiLevelType w:val="hybridMultilevel"/>
    <w:tmpl w:val="BADE81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2A31103"/>
    <w:multiLevelType w:val="hybridMultilevel"/>
    <w:tmpl w:val="8EC22D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39362AD"/>
    <w:multiLevelType w:val="hybridMultilevel"/>
    <w:tmpl w:val="0D9440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4BB4FD5"/>
    <w:multiLevelType w:val="hybridMultilevel"/>
    <w:tmpl w:val="F80A3B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C94463"/>
    <w:multiLevelType w:val="hybridMultilevel"/>
    <w:tmpl w:val="ACBC32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63F0882"/>
    <w:multiLevelType w:val="hybridMultilevel"/>
    <w:tmpl w:val="376A5A3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297882"/>
    <w:multiLevelType w:val="hybridMultilevel"/>
    <w:tmpl w:val="E128685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A2B6683"/>
    <w:multiLevelType w:val="hybridMultilevel"/>
    <w:tmpl w:val="DF64A668"/>
    <w:lvl w:ilvl="0" w:tplc="F66659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C9A3C97"/>
    <w:multiLevelType w:val="hybridMultilevel"/>
    <w:tmpl w:val="B3AA1E64"/>
    <w:lvl w:ilvl="0" w:tplc="9228A9A2">
      <w:start w:val="1"/>
      <w:numFmt w:val="decimal"/>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CEA5232"/>
    <w:multiLevelType w:val="hybridMultilevel"/>
    <w:tmpl w:val="9A3469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F034E44"/>
    <w:multiLevelType w:val="hybridMultilevel"/>
    <w:tmpl w:val="93E8A8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22B588E"/>
    <w:multiLevelType w:val="hybridMultilevel"/>
    <w:tmpl w:val="061846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24E064B"/>
    <w:multiLevelType w:val="hybridMultilevel"/>
    <w:tmpl w:val="133EA5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2AC300C"/>
    <w:multiLevelType w:val="hybridMultilevel"/>
    <w:tmpl w:val="2D2681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6150639"/>
    <w:multiLevelType w:val="hybridMultilevel"/>
    <w:tmpl w:val="CC30CF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8C64470"/>
    <w:multiLevelType w:val="hybridMultilevel"/>
    <w:tmpl w:val="6DFCF91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8DD30C1"/>
    <w:multiLevelType w:val="hybridMultilevel"/>
    <w:tmpl w:val="37225C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9B761BB"/>
    <w:multiLevelType w:val="hybridMultilevel"/>
    <w:tmpl w:val="1E227D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AFC09FF"/>
    <w:multiLevelType w:val="hybridMultilevel"/>
    <w:tmpl w:val="6ADCF3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BAF743B"/>
    <w:multiLevelType w:val="hybridMultilevel"/>
    <w:tmpl w:val="9C503E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DC26ED1"/>
    <w:multiLevelType w:val="hybridMultilevel"/>
    <w:tmpl w:val="82684788"/>
    <w:lvl w:ilvl="0" w:tplc="A6FECBD0">
      <w:start w:val="1"/>
      <w:numFmt w:val="lowerLetter"/>
      <w:lvlText w:val="%1)"/>
      <w:lvlJc w:val="left"/>
      <w:pPr>
        <w:ind w:left="1080" w:hanging="360"/>
      </w:pPr>
      <w:rPr>
        <w:rFonts w:ascii="Cambria" w:eastAsiaTheme="minorHAnsi" w:hAnsi="Cambria" w:cstheme="minorBidi"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9" w15:restartNumberingAfterBreak="0">
    <w:nsid w:val="6E6C6833"/>
    <w:multiLevelType w:val="hybridMultilevel"/>
    <w:tmpl w:val="7960EE22"/>
    <w:lvl w:ilvl="0" w:tplc="633ED276">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90" w15:restartNumberingAfterBreak="0">
    <w:nsid w:val="6F3A545E"/>
    <w:multiLevelType w:val="hybridMultilevel"/>
    <w:tmpl w:val="C50289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0AE1681"/>
    <w:multiLevelType w:val="hybridMultilevel"/>
    <w:tmpl w:val="F0D6CE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0C63A92"/>
    <w:multiLevelType w:val="hybridMultilevel"/>
    <w:tmpl w:val="BA72403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45F30D7"/>
    <w:multiLevelType w:val="hybridMultilevel"/>
    <w:tmpl w:val="C39A6E7E"/>
    <w:lvl w:ilvl="0" w:tplc="A6FECBD0">
      <w:start w:val="1"/>
      <w:numFmt w:val="lowerLetter"/>
      <w:lvlText w:val="%1)"/>
      <w:lvlJc w:val="left"/>
      <w:pPr>
        <w:ind w:left="1429" w:hanging="360"/>
      </w:pPr>
      <w:rPr>
        <w:rFonts w:ascii="Cambria" w:eastAsiaTheme="minorHAnsi" w:hAnsi="Cambria" w:cstheme="minorBidi"/>
      </w:rPr>
    </w:lvl>
    <w:lvl w:ilvl="1" w:tplc="041B0019" w:tentative="1">
      <w:start w:val="1"/>
      <w:numFmt w:val="lowerLetter"/>
      <w:lvlText w:val="%2."/>
      <w:lvlJc w:val="left"/>
      <w:pPr>
        <w:ind w:left="2149" w:hanging="360"/>
      </w:pPr>
    </w:lvl>
    <w:lvl w:ilvl="2" w:tplc="041B001B">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4" w15:restartNumberingAfterBreak="0">
    <w:nsid w:val="76585B55"/>
    <w:multiLevelType w:val="hybridMultilevel"/>
    <w:tmpl w:val="1638A52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78203E17"/>
    <w:multiLevelType w:val="hybridMultilevel"/>
    <w:tmpl w:val="6A70C6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82863A9"/>
    <w:multiLevelType w:val="hybridMultilevel"/>
    <w:tmpl w:val="3F0ABE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8610341"/>
    <w:multiLevelType w:val="hybridMultilevel"/>
    <w:tmpl w:val="175C73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8E2553E"/>
    <w:multiLevelType w:val="hybridMultilevel"/>
    <w:tmpl w:val="C6D8C9E4"/>
    <w:lvl w:ilvl="0" w:tplc="041B000F">
      <w:start w:val="1"/>
      <w:numFmt w:val="decimal"/>
      <w:lvlText w:val="%1."/>
      <w:lvlJc w:val="left"/>
      <w:pPr>
        <w:ind w:left="720" w:hanging="360"/>
      </w:pPr>
    </w:lvl>
    <w:lvl w:ilvl="1" w:tplc="BE34523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8F92F3A"/>
    <w:multiLevelType w:val="hybridMultilevel"/>
    <w:tmpl w:val="853814EA"/>
    <w:lvl w:ilvl="0" w:tplc="A6FECBD0">
      <w:start w:val="1"/>
      <w:numFmt w:val="lowerLetter"/>
      <w:lvlText w:val="%1)"/>
      <w:lvlJc w:val="left"/>
      <w:pPr>
        <w:ind w:left="720" w:hanging="360"/>
      </w:pPr>
      <w:rPr>
        <w:rFonts w:ascii="Cambria" w:eastAsiaTheme="minorHAnsi" w:hAnsi="Cambria"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3112C9"/>
    <w:multiLevelType w:val="hybridMultilevel"/>
    <w:tmpl w:val="7EAAA8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96F7536"/>
    <w:multiLevelType w:val="hybridMultilevel"/>
    <w:tmpl w:val="F7505ED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A0D092E"/>
    <w:multiLevelType w:val="hybridMultilevel"/>
    <w:tmpl w:val="AC7A6F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A24777C"/>
    <w:multiLevelType w:val="hybridMultilevel"/>
    <w:tmpl w:val="5128C09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A2A799C"/>
    <w:multiLevelType w:val="hybridMultilevel"/>
    <w:tmpl w:val="3CCA6B7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C0A566B"/>
    <w:multiLevelType w:val="hybridMultilevel"/>
    <w:tmpl w:val="F90001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C7F5DB9"/>
    <w:multiLevelType w:val="hybridMultilevel"/>
    <w:tmpl w:val="886E50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D754B2A"/>
    <w:multiLevelType w:val="hybridMultilevel"/>
    <w:tmpl w:val="A2BCA6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8" w15:restartNumberingAfterBreak="0">
    <w:nsid w:val="7EDD3CD7"/>
    <w:multiLevelType w:val="hybridMultilevel"/>
    <w:tmpl w:val="6A2696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F234732"/>
    <w:multiLevelType w:val="hybridMultilevel"/>
    <w:tmpl w:val="3AA89F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F2E6379"/>
    <w:multiLevelType w:val="hybridMultilevel"/>
    <w:tmpl w:val="C546C5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F664EB9"/>
    <w:multiLevelType w:val="hybridMultilevel"/>
    <w:tmpl w:val="BD4A4AFC"/>
    <w:lvl w:ilvl="0" w:tplc="041B000F">
      <w:start w:val="1"/>
      <w:numFmt w:val="decimal"/>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FF53095"/>
    <w:multiLevelType w:val="hybridMultilevel"/>
    <w:tmpl w:val="2174E7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79"/>
  </w:num>
  <w:num w:numId="3">
    <w:abstractNumId w:val="16"/>
  </w:num>
  <w:num w:numId="4">
    <w:abstractNumId w:val="112"/>
  </w:num>
  <w:num w:numId="5">
    <w:abstractNumId w:val="101"/>
  </w:num>
  <w:num w:numId="6">
    <w:abstractNumId w:val="76"/>
  </w:num>
  <w:num w:numId="7">
    <w:abstractNumId w:val="17"/>
  </w:num>
  <w:num w:numId="8">
    <w:abstractNumId w:val="62"/>
  </w:num>
  <w:num w:numId="9">
    <w:abstractNumId w:val="32"/>
  </w:num>
  <w:num w:numId="10">
    <w:abstractNumId w:val="33"/>
  </w:num>
  <w:num w:numId="11">
    <w:abstractNumId w:val="74"/>
  </w:num>
  <w:num w:numId="12">
    <w:abstractNumId w:val="102"/>
  </w:num>
  <w:num w:numId="13">
    <w:abstractNumId w:val="0"/>
  </w:num>
  <w:num w:numId="14">
    <w:abstractNumId w:val="39"/>
  </w:num>
  <w:num w:numId="15">
    <w:abstractNumId w:val="37"/>
  </w:num>
  <w:num w:numId="16">
    <w:abstractNumId w:val="96"/>
  </w:num>
  <w:num w:numId="17">
    <w:abstractNumId w:val="24"/>
  </w:num>
  <w:num w:numId="18">
    <w:abstractNumId w:val="84"/>
  </w:num>
  <w:num w:numId="19">
    <w:abstractNumId w:val="70"/>
  </w:num>
  <w:num w:numId="20">
    <w:abstractNumId w:val="52"/>
  </w:num>
  <w:num w:numId="21">
    <w:abstractNumId w:val="72"/>
  </w:num>
  <w:num w:numId="22">
    <w:abstractNumId w:val="97"/>
  </w:num>
  <w:num w:numId="23">
    <w:abstractNumId w:val="45"/>
  </w:num>
  <w:num w:numId="24">
    <w:abstractNumId w:val="46"/>
  </w:num>
  <w:num w:numId="25">
    <w:abstractNumId w:val="95"/>
  </w:num>
  <w:num w:numId="26">
    <w:abstractNumId w:val="20"/>
  </w:num>
  <w:num w:numId="27">
    <w:abstractNumId w:val="48"/>
  </w:num>
  <w:num w:numId="28">
    <w:abstractNumId w:val="86"/>
  </w:num>
  <w:num w:numId="29">
    <w:abstractNumId w:val="111"/>
  </w:num>
  <w:num w:numId="30">
    <w:abstractNumId w:val="90"/>
  </w:num>
  <w:num w:numId="31">
    <w:abstractNumId w:val="29"/>
  </w:num>
  <w:num w:numId="32">
    <w:abstractNumId w:val="31"/>
  </w:num>
  <w:num w:numId="33">
    <w:abstractNumId w:val="71"/>
  </w:num>
  <w:num w:numId="34">
    <w:abstractNumId w:val="22"/>
  </w:num>
  <w:num w:numId="35">
    <w:abstractNumId w:val="6"/>
  </w:num>
  <w:num w:numId="36">
    <w:abstractNumId w:val="68"/>
  </w:num>
  <w:num w:numId="37">
    <w:abstractNumId w:val="30"/>
  </w:num>
  <w:num w:numId="38">
    <w:abstractNumId w:val="60"/>
  </w:num>
  <w:num w:numId="39">
    <w:abstractNumId w:val="42"/>
  </w:num>
  <w:num w:numId="40">
    <w:abstractNumId w:val="91"/>
  </w:num>
  <w:num w:numId="41">
    <w:abstractNumId w:val="14"/>
  </w:num>
  <w:num w:numId="42">
    <w:abstractNumId w:val="44"/>
  </w:num>
  <w:num w:numId="43">
    <w:abstractNumId w:val="56"/>
  </w:num>
  <w:num w:numId="44">
    <w:abstractNumId w:val="73"/>
  </w:num>
  <w:num w:numId="45">
    <w:abstractNumId w:val="67"/>
  </w:num>
  <w:num w:numId="46">
    <w:abstractNumId w:val="110"/>
  </w:num>
  <w:num w:numId="47">
    <w:abstractNumId w:val="40"/>
  </w:num>
  <w:num w:numId="48">
    <w:abstractNumId w:val="38"/>
  </w:num>
  <w:num w:numId="49">
    <w:abstractNumId w:val="53"/>
  </w:num>
  <w:num w:numId="50">
    <w:abstractNumId w:val="82"/>
  </w:num>
  <w:num w:numId="51">
    <w:abstractNumId w:val="63"/>
  </w:num>
  <w:num w:numId="52">
    <w:abstractNumId w:val="19"/>
  </w:num>
  <w:num w:numId="53">
    <w:abstractNumId w:val="36"/>
  </w:num>
  <w:num w:numId="54">
    <w:abstractNumId w:val="21"/>
  </w:num>
  <w:num w:numId="55">
    <w:abstractNumId w:val="15"/>
  </w:num>
  <w:num w:numId="56">
    <w:abstractNumId w:val="41"/>
  </w:num>
  <w:num w:numId="57">
    <w:abstractNumId w:val="69"/>
  </w:num>
  <w:num w:numId="58">
    <w:abstractNumId w:val="83"/>
  </w:num>
  <w:num w:numId="59">
    <w:abstractNumId w:val="80"/>
  </w:num>
  <w:num w:numId="60">
    <w:abstractNumId w:val="77"/>
  </w:num>
  <w:num w:numId="61">
    <w:abstractNumId w:val="7"/>
  </w:num>
  <w:num w:numId="62">
    <w:abstractNumId w:val="1"/>
  </w:num>
  <w:num w:numId="63">
    <w:abstractNumId w:val="59"/>
  </w:num>
  <w:num w:numId="64">
    <w:abstractNumId w:val="106"/>
  </w:num>
  <w:num w:numId="65">
    <w:abstractNumId w:val="61"/>
  </w:num>
  <w:num w:numId="66">
    <w:abstractNumId w:val="66"/>
  </w:num>
  <w:num w:numId="67">
    <w:abstractNumId w:val="108"/>
  </w:num>
  <w:num w:numId="68">
    <w:abstractNumId w:val="13"/>
  </w:num>
  <w:num w:numId="69">
    <w:abstractNumId w:val="105"/>
  </w:num>
  <w:num w:numId="70">
    <w:abstractNumId w:val="94"/>
  </w:num>
  <w:num w:numId="71">
    <w:abstractNumId w:val="23"/>
  </w:num>
  <w:num w:numId="72">
    <w:abstractNumId w:val="57"/>
  </w:num>
  <w:num w:numId="73">
    <w:abstractNumId w:val="4"/>
  </w:num>
  <w:num w:numId="74">
    <w:abstractNumId w:val="34"/>
  </w:num>
  <w:num w:numId="75">
    <w:abstractNumId w:val="43"/>
  </w:num>
  <w:num w:numId="76">
    <w:abstractNumId w:val="103"/>
  </w:num>
  <w:num w:numId="77">
    <w:abstractNumId w:val="64"/>
  </w:num>
  <w:num w:numId="78">
    <w:abstractNumId w:val="12"/>
  </w:num>
  <w:num w:numId="79">
    <w:abstractNumId w:val="49"/>
  </w:num>
  <w:num w:numId="80">
    <w:abstractNumId w:val="100"/>
  </w:num>
  <w:num w:numId="81">
    <w:abstractNumId w:val="28"/>
  </w:num>
  <w:num w:numId="82">
    <w:abstractNumId w:val="92"/>
  </w:num>
  <w:num w:numId="83">
    <w:abstractNumId w:val="81"/>
  </w:num>
  <w:num w:numId="84">
    <w:abstractNumId w:val="85"/>
  </w:num>
  <w:num w:numId="85">
    <w:abstractNumId w:val="10"/>
  </w:num>
  <w:num w:numId="86">
    <w:abstractNumId w:val="50"/>
  </w:num>
  <w:num w:numId="87">
    <w:abstractNumId w:val="2"/>
  </w:num>
  <w:num w:numId="88">
    <w:abstractNumId w:val="9"/>
  </w:num>
  <w:num w:numId="89">
    <w:abstractNumId w:val="51"/>
  </w:num>
  <w:num w:numId="90">
    <w:abstractNumId w:val="109"/>
  </w:num>
  <w:num w:numId="91">
    <w:abstractNumId w:val="55"/>
  </w:num>
  <w:num w:numId="92">
    <w:abstractNumId w:val="87"/>
  </w:num>
  <w:num w:numId="93">
    <w:abstractNumId w:val="104"/>
  </w:num>
  <w:num w:numId="94">
    <w:abstractNumId w:val="25"/>
  </w:num>
  <w:num w:numId="95">
    <w:abstractNumId w:val="47"/>
  </w:num>
  <w:num w:numId="96">
    <w:abstractNumId w:val="26"/>
  </w:num>
  <w:num w:numId="97">
    <w:abstractNumId w:val="98"/>
  </w:num>
  <w:num w:numId="98">
    <w:abstractNumId w:val="78"/>
  </w:num>
  <w:num w:numId="99">
    <w:abstractNumId w:val="11"/>
  </w:num>
  <w:num w:numId="100">
    <w:abstractNumId w:val="75"/>
  </w:num>
  <w:num w:numId="101">
    <w:abstractNumId w:val="54"/>
  </w:num>
  <w:num w:numId="102">
    <w:abstractNumId w:val="18"/>
  </w:num>
  <w:num w:numId="103">
    <w:abstractNumId w:val="3"/>
  </w:num>
  <w:num w:numId="104">
    <w:abstractNumId w:val="99"/>
  </w:num>
  <w:num w:numId="105">
    <w:abstractNumId w:val="8"/>
  </w:num>
  <w:num w:numId="106">
    <w:abstractNumId w:val="58"/>
  </w:num>
  <w:num w:numId="107">
    <w:abstractNumId w:val="89"/>
  </w:num>
  <w:num w:numId="108">
    <w:abstractNumId w:val="107"/>
  </w:num>
  <w:num w:numId="109">
    <w:abstractNumId w:val="35"/>
  </w:num>
  <w:num w:numId="110">
    <w:abstractNumId w:val="27"/>
  </w:num>
  <w:num w:numId="111">
    <w:abstractNumId w:val="65"/>
  </w:num>
  <w:num w:numId="112">
    <w:abstractNumId w:val="88"/>
  </w:num>
  <w:num w:numId="113">
    <w:abstractNumId w:val="93"/>
  </w:num>
  <w:numIdMacAtCleanup w:val="1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rvová Zuzana">
    <w15:presenceInfo w15:providerId="AD" w15:userId="S::MrvovaZ@nbs.sk::0bb315f1-6bf4-4e18-ab75-500c4656f7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06A"/>
    <w:rsid w:val="00002B22"/>
    <w:rsid w:val="000120C3"/>
    <w:rsid w:val="000210A1"/>
    <w:rsid w:val="00037C31"/>
    <w:rsid w:val="00040A97"/>
    <w:rsid w:val="00043ED5"/>
    <w:rsid w:val="00050E41"/>
    <w:rsid w:val="00055011"/>
    <w:rsid w:val="000738AB"/>
    <w:rsid w:val="000768C7"/>
    <w:rsid w:val="00080F70"/>
    <w:rsid w:val="00084661"/>
    <w:rsid w:val="00093A79"/>
    <w:rsid w:val="0009468D"/>
    <w:rsid w:val="0009480D"/>
    <w:rsid w:val="000B6745"/>
    <w:rsid w:val="000C3966"/>
    <w:rsid w:val="000D1E6F"/>
    <w:rsid w:val="000E49A4"/>
    <w:rsid w:val="000E60D0"/>
    <w:rsid w:val="000E7D72"/>
    <w:rsid w:val="000F0054"/>
    <w:rsid w:val="000F4039"/>
    <w:rsid w:val="00112A15"/>
    <w:rsid w:val="00112BFB"/>
    <w:rsid w:val="00121219"/>
    <w:rsid w:val="00126F58"/>
    <w:rsid w:val="00130860"/>
    <w:rsid w:val="00132419"/>
    <w:rsid w:val="00136106"/>
    <w:rsid w:val="00144895"/>
    <w:rsid w:val="00151BA1"/>
    <w:rsid w:val="001534DE"/>
    <w:rsid w:val="00154429"/>
    <w:rsid w:val="00156207"/>
    <w:rsid w:val="001663B6"/>
    <w:rsid w:val="0016770E"/>
    <w:rsid w:val="00171807"/>
    <w:rsid w:val="00177FA5"/>
    <w:rsid w:val="0019782C"/>
    <w:rsid w:val="001A3595"/>
    <w:rsid w:val="001A694C"/>
    <w:rsid w:val="001A7E49"/>
    <w:rsid w:val="001B602B"/>
    <w:rsid w:val="001B7DD0"/>
    <w:rsid w:val="001C6018"/>
    <w:rsid w:val="001C7684"/>
    <w:rsid w:val="001D01FE"/>
    <w:rsid w:val="001D2CFA"/>
    <w:rsid w:val="001D5F8F"/>
    <w:rsid w:val="001D5F9F"/>
    <w:rsid w:val="001D6008"/>
    <w:rsid w:val="001E4AED"/>
    <w:rsid w:val="001F4EBE"/>
    <w:rsid w:val="00201827"/>
    <w:rsid w:val="00214023"/>
    <w:rsid w:val="00221FC9"/>
    <w:rsid w:val="0022261C"/>
    <w:rsid w:val="002229D8"/>
    <w:rsid w:val="00225679"/>
    <w:rsid w:val="0022614B"/>
    <w:rsid w:val="00227EB2"/>
    <w:rsid w:val="00227F6D"/>
    <w:rsid w:val="002311C0"/>
    <w:rsid w:val="00237E62"/>
    <w:rsid w:val="00240C35"/>
    <w:rsid w:val="00241419"/>
    <w:rsid w:val="0024523F"/>
    <w:rsid w:val="0025042E"/>
    <w:rsid w:val="00255616"/>
    <w:rsid w:val="00255649"/>
    <w:rsid w:val="00255947"/>
    <w:rsid w:val="0025764B"/>
    <w:rsid w:val="00262DEE"/>
    <w:rsid w:val="00265798"/>
    <w:rsid w:val="00267D75"/>
    <w:rsid w:val="002813DC"/>
    <w:rsid w:val="0028524F"/>
    <w:rsid w:val="0028755A"/>
    <w:rsid w:val="0029143E"/>
    <w:rsid w:val="002914D9"/>
    <w:rsid w:val="0029290F"/>
    <w:rsid w:val="00294624"/>
    <w:rsid w:val="002B4CD0"/>
    <w:rsid w:val="002B5557"/>
    <w:rsid w:val="002C7ED4"/>
    <w:rsid w:val="002D0A6C"/>
    <w:rsid w:val="002D2850"/>
    <w:rsid w:val="002E1AD1"/>
    <w:rsid w:val="002E6AF7"/>
    <w:rsid w:val="002F2578"/>
    <w:rsid w:val="002F530D"/>
    <w:rsid w:val="00301445"/>
    <w:rsid w:val="00301A80"/>
    <w:rsid w:val="00303C9B"/>
    <w:rsid w:val="00303F9C"/>
    <w:rsid w:val="00313E9D"/>
    <w:rsid w:val="00317AC4"/>
    <w:rsid w:val="003239F1"/>
    <w:rsid w:val="003249C2"/>
    <w:rsid w:val="0032717B"/>
    <w:rsid w:val="0033066A"/>
    <w:rsid w:val="00331B0B"/>
    <w:rsid w:val="00331FAA"/>
    <w:rsid w:val="0033540D"/>
    <w:rsid w:val="00341706"/>
    <w:rsid w:val="00344077"/>
    <w:rsid w:val="003477B7"/>
    <w:rsid w:val="00347FE1"/>
    <w:rsid w:val="003622BB"/>
    <w:rsid w:val="00362430"/>
    <w:rsid w:val="003636B5"/>
    <w:rsid w:val="00366434"/>
    <w:rsid w:val="00370893"/>
    <w:rsid w:val="0037517F"/>
    <w:rsid w:val="00390381"/>
    <w:rsid w:val="00392F01"/>
    <w:rsid w:val="003954F5"/>
    <w:rsid w:val="0039638D"/>
    <w:rsid w:val="003A2A15"/>
    <w:rsid w:val="003B58CA"/>
    <w:rsid w:val="003B669B"/>
    <w:rsid w:val="003C5E4E"/>
    <w:rsid w:val="003D0A99"/>
    <w:rsid w:val="003D243F"/>
    <w:rsid w:val="003D2524"/>
    <w:rsid w:val="003D5B5B"/>
    <w:rsid w:val="003D6ACA"/>
    <w:rsid w:val="003E0194"/>
    <w:rsid w:val="003E581F"/>
    <w:rsid w:val="003E706A"/>
    <w:rsid w:val="00400D8B"/>
    <w:rsid w:val="00404C82"/>
    <w:rsid w:val="004100B0"/>
    <w:rsid w:val="00413CCE"/>
    <w:rsid w:val="00422259"/>
    <w:rsid w:val="004273B8"/>
    <w:rsid w:val="00427FB4"/>
    <w:rsid w:val="004302ED"/>
    <w:rsid w:val="00433367"/>
    <w:rsid w:val="0043340E"/>
    <w:rsid w:val="00435EAB"/>
    <w:rsid w:val="00445B18"/>
    <w:rsid w:val="00450046"/>
    <w:rsid w:val="004503E6"/>
    <w:rsid w:val="004510DC"/>
    <w:rsid w:val="00452F6B"/>
    <w:rsid w:val="004552AD"/>
    <w:rsid w:val="00460A34"/>
    <w:rsid w:val="00464479"/>
    <w:rsid w:val="0049669D"/>
    <w:rsid w:val="004A7A73"/>
    <w:rsid w:val="004B7B47"/>
    <w:rsid w:val="004C799E"/>
    <w:rsid w:val="004D1104"/>
    <w:rsid w:val="004D12BD"/>
    <w:rsid w:val="004D7E2D"/>
    <w:rsid w:val="004E47A7"/>
    <w:rsid w:val="004E5504"/>
    <w:rsid w:val="004E5E94"/>
    <w:rsid w:val="004E7173"/>
    <w:rsid w:val="004F48D8"/>
    <w:rsid w:val="00507281"/>
    <w:rsid w:val="005072F2"/>
    <w:rsid w:val="00510309"/>
    <w:rsid w:val="00510A98"/>
    <w:rsid w:val="00513AD8"/>
    <w:rsid w:val="0052143A"/>
    <w:rsid w:val="0052417B"/>
    <w:rsid w:val="00527BE6"/>
    <w:rsid w:val="005316F2"/>
    <w:rsid w:val="00536AD4"/>
    <w:rsid w:val="005370D1"/>
    <w:rsid w:val="00543001"/>
    <w:rsid w:val="0054507C"/>
    <w:rsid w:val="00547012"/>
    <w:rsid w:val="005516CA"/>
    <w:rsid w:val="00564381"/>
    <w:rsid w:val="00564E7B"/>
    <w:rsid w:val="00577977"/>
    <w:rsid w:val="00581119"/>
    <w:rsid w:val="00587CBD"/>
    <w:rsid w:val="00590283"/>
    <w:rsid w:val="005939CC"/>
    <w:rsid w:val="005A1CD3"/>
    <w:rsid w:val="005A2E5B"/>
    <w:rsid w:val="005A7A2C"/>
    <w:rsid w:val="005B05EB"/>
    <w:rsid w:val="005B0CCC"/>
    <w:rsid w:val="005B5EFB"/>
    <w:rsid w:val="005C0590"/>
    <w:rsid w:val="005C09C1"/>
    <w:rsid w:val="005C0C75"/>
    <w:rsid w:val="005C1153"/>
    <w:rsid w:val="005C3A52"/>
    <w:rsid w:val="005D263F"/>
    <w:rsid w:val="005D3073"/>
    <w:rsid w:val="005E26D8"/>
    <w:rsid w:val="005E4CD7"/>
    <w:rsid w:val="005F1D97"/>
    <w:rsid w:val="005F67C3"/>
    <w:rsid w:val="005F7608"/>
    <w:rsid w:val="005F7D19"/>
    <w:rsid w:val="00601392"/>
    <w:rsid w:val="00601656"/>
    <w:rsid w:val="00603A35"/>
    <w:rsid w:val="00603B59"/>
    <w:rsid w:val="006055E2"/>
    <w:rsid w:val="00610484"/>
    <w:rsid w:val="0061116A"/>
    <w:rsid w:val="00616228"/>
    <w:rsid w:val="00624AA1"/>
    <w:rsid w:val="0062508D"/>
    <w:rsid w:val="006302E7"/>
    <w:rsid w:val="006304DB"/>
    <w:rsid w:val="0063321B"/>
    <w:rsid w:val="00633AF2"/>
    <w:rsid w:val="0064059A"/>
    <w:rsid w:val="006470E3"/>
    <w:rsid w:val="006509A1"/>
    <w:rsid w:val="006563AB"/>
    <w:rsid w:val="00661CA6"/>
    <w:rsid w:val="006717A7"/>
    <w:rsid w:val="006774A9"/>
    <w:rsid w:val="0068356D"/>
    <w:rsid w:val="00690DB1"/>
    <w:rsid w:val="00696138"/>
    <w:rsid w:val="006A2E77"/>
    <w:rsid w:val="006B1183"/>
    <w:rsid w:val="006B77B8"/>
    <w:rsid w:val="006D5510"/>
    <w:rsid w:val="006E03C3"/>
    <w:rsid w:val="006F32DF"/>
    <w:rsid w:val="0070517A"/>
    <w:rsid w:val="00707677"/>
    <w:rsid w:val="00707D00"/>
    <w:rsid w:val="00721954"/>
    <w:rsid w:val="00725832"/>
    <w:rsid w:val="00725DDD"/>
    <w:rsid w:val="007407F9"/>
    <w:rsid w:val="00741572"/>
    <w:rsid w:val="00742783"/>
    <w:rsid w:val="00743DA2"/>
    <w:rsid w:val="00744B16"/>
    <w:rsid w:val="007510AE"/>
    <w:rsid w:val="00752879"/>
    <w:rsid w:val="007549D8"/>
    <w:rsid w:val="00755031"/>
    <w:rsid w:val="007573B4"/>
    <w:rsid w:val="00762926"/>
    <w:rsid w:val="00765E50"/>
    <w:rsid w:val="007665B1"/>
    <w:rsid w:val="00772176"/>
    <w:rsid w:val="0078079C"/>
    <w:rsid w:val="00782367"/>
    <w:rsid w:val="00782E98"/>
    <w:rsid w:val="00787300"/>
    <w:rsid w:val="00793E07"/>
    <w:rsid w:val="00797E31"/>
    <w:rsid w:val="007A3A4F"/>
    <w:rsid w:val="007A5C32"/>
    <w:rsid w:val="007B18E8"/>
    <w:rsid w:val="007B1BE3"/>
    <w:rsid w:val="007B30F6"/>
    <w:rsid w:val="007C2328"/>
    <w:rsid w:val="007D215F"/>
    <w:rsid w:val="007D3E88"/>
    <w:rsid w:val="007D5FA5"/>
    <w:rsid w:val="007E3E84"/>
    <w:rsid w:val="007E613D"/>
    <w:rsid w:val="007F191F"/>
    <w:rsid w:val="00801529"/>
    <w:rsid w:val="00804D71"/>
    <w:rsid w:val="008063A7"/>
    <w:rsid w:val="00807747"/>
    <w:rsid w:val="00813747"/>
    <w:rsid w:val="00814573"/>
    <w:rsid w:val="00817B53"/>
    <w:rsid w:val="00827771"/>
    <w:rsid w:val="00832E93"/>
    <w:rsid w:val="00834768"/>
    <w:rsid w:val="00835DE9"/>
    <w:rsid w:val="0084389E"/>
    <w:rsid w:val="00845499"/>
    <w:rsid w:val="0085194F"/>
    <w:rsid w:val="008621FF"/>
    <w:rsid w:val="00862505"/>
    <w:rsid w:val="008708B3"/>
    <w:rsid w:val="008709C5"/>
    <w:rsid w:val="00875977"/>
    <w:rsid w:val="00880DB0"/>
    <w:rsid w:val="00880E4D"/>
    <w:rsid w:val="008869D5"/>
    <w:rsid w:val="00886AB5"/>
    <w:rsid w:val="008B570F"/>
    <w:rsid w:val="008B6D66"/>
    <w:rsid w:val="008C04C8"/>
    <w:rsid w:val="008C62B0"/>
    <w:rsid w:val="008C67CF"/>
    <w:rsid w:val="008D0D75"/>
    <w:rsid w:val="008E654D"/>
    <w:rsid w:val="008F0B97"/>
    <w:rsid w:val="0090132E"/>
    <w:rsid w:val="00906D88"/>
    <w:rsid w:val="00907445"/>
    <w:rsid w:val="0092695E"/>
    <w:rsid w:val="00930A87"/>
    <w:rsid w:val="009318F1"/>
    <w:rsid w:val="00933193"/>
    <w:rsid w:val="009348FA"/>
    <w:rsid w:val="0093584B"/>
    <w:rsid w:val="0096025B"/>
    <w:rsid w:val="00961467"/>
    <w:rsid w:val="00974859"/>
    <w:rsid w:val="0098060B"/>
    <w:rsid w:val="009841D6"/>
    <w:rsid w:val="00987A8B"/>
    <w:rsid w:val="00991951"/>
    <w:rsid w:val="009931F6"/>
    <w:rsid w:val="009A024D"/>
    <w:rsid w:val="009A2562"/>
    <w:rsid w:val="009A5B44"/>
    <w:rsid w:val="009A6FA0"/>
    <w:rsid w:val="009C559F"/>
    <w:rsid w:val="009D0BF0"/>
    <w:rsid w:val="009D3ECA"/>
    <w:rsid w:val="009D45D4"/>
    <w:rsid w:val="009E3365"/>
    <w:rsid w:val="00A011E3"/>
    <w:rsid w:val="00A1274F"/>
    <w:rsid w:val="00A23C52"/>
    <w:rsid w:val="00A33E1A"/>
    <w:rsid w:val="00A37C64"/>
    <w:rsid w:val="00A4182F"/>
    <w:rsid w:val="00A47A3C"/>
    <w:rsid w:val="00A55301"/>
    <w:rsid w:val="00A574B5"/>
    <w:rsid w:val="00A6107E"/>
    <w:rsid w:val="00A62879"/>
    <w:rsid w:val="00A62D7C"/>
    <w:rsid w:val="00A63BEA"/>
    <w:rsid w:val="00A719D6"/>
    <w:rsid w:val="00A71CC3"/>
    <w:rsid w:val="00A74061"/>
    <w:rsid w:val="00A74E06"/>
    <w:rsid w:val="00A7752C"/>
    <w:rsid w:val="00A80667"/>
    <w:rsid w:val="00A83537"/>
    <w:rsid w:val="00A86489"/>
    <w:rsid w:val="00A87986"/>
    <w:rsid w:val="00A87F22"/>
    <w:rsid w:val="00A94723"/>
    <w:rsid w:val="00A973A9"/>
    <w:rsid w:val="00AA7999"/>
    <w:rsid w:val="00AB00B3"/>
    <w:rsid w:val="00AC0521"/>
    <w:rsid w:val="00AC4005"/>
    <w:rsid w:val="00AC40CE"/>
    <w:rsid w:val="00AC6CA8"/>
    <w:rsid w:val="00AD2DAE"/>
    <w:rsid w:val="00AD3237"/>
    <w:rsid w:val="00AD4000"/>
    <w:rsid w:val="00AD6173"/>
    <w:rsid w:val="00AE67E2"/>
    <w:rsid w:val="00AF4D0D"/>
    <w:rsid w:val="00B02D9C"/>
    <w:rsid w:val="00B05A6F"/>
    <w:rsid w:val="00B131F6"/>
    <w:rsid w:val="00B22564"/>
    <w:rsid w:val="00B24AF5"/>
    <w:rsid w:val="00B301D3"/>
    <w:rsid w:val="00B31C02"/>
    <w:rsid w:val="00B40C8E"/>
    <w:rsid w:val="00B42F36"/>
    <w:rsid w:val="00B46B42"/>
    <w:rsid w:val="00B53F68"/>
    <w:rsid w:val="00B56044"/>
    <w:rsid w:val="00B63674"/>
    <w:rsid w:val="00B66049"/>
    <w:rsid w:val="00B6695B"/>
    <w:rsid w:val="00B74278"/>
    <w:rsid w:val="00B764DB"/>
    <w:rsid w:val="00B84181"/>
    <w:rsid w:val="00BA4BE5"/>
    <w:rsid w:val="00BA5CA8"/>
    <w:rsid w:val="00BA6A92"/>
    <w:rsid w:val="00BA6BB6"/>
    <w:rsid w:val="00BB6198"/>
    <w:rsid w:val="00BB73D9"/>
    <w:rsid w:val="00BC4096"/>
    <w:rsid w:val="00BC4B65"/>
    <w:rsid w:val="00BC55DB"/>
    <w:rsid w:val="00BD1026"/>
    <w:rsid w:val="00BD2A27"/>
    <w:rsid w:val="00BD6555"/>
    <w:rsid w:val="00BD77A4"/>
    <w:rsid w:val="00BE1E2D"/>
    <w:rsid w:val="00BE51F1"/>
    <w:rsid w:val="00BF0892"/>
    <w:rsid w:val="00BF159A"/>
    <w:rsid w:val="00BF1B3B"/>
    <w:rsid w:val="00C01DB8"/>
    <w:rsid w:val="00C1151D"/>
    <w:rsid w:val="00C136DD"/>
    <w:rsid w:val="00C24760"/>
    <w:rsid w:val="00C308DE"/>
    <w:rsid w:val="00C35E8A"/>
    <w:rsid w:val="00C440BA"/>
    <w:rsid w:val="00C44D73"/>
    <w:rsid w:val="00C457A6"/>
    <w:rsid w:val="00C470AA"/>
    <w:rsid w:val="00C645B1"/>
    <w:rsid w:val="00C75D1A"/>
    <w:rsid w:val="00C7613E"/>
    <w:rsid w:val="00C80F89"/>
    <w:rsid w:val="00C91B4D"/>
    <w:rsid w:val="00C927BB"/>
    <w:rsid w:val="00C9408B"/>
    <w:rsid w:val="00CB2766"/>
    <w:rsid w:val="00CB4D80"/>
    <w:rsid w:val="00CB5C14"/>
    <w:rsid w:val="00CB7659"/>
    <w:rsid w:val="00CB7C08"/>
    <w:rsid w:val="00CB7E6E"/>
    <w:rsid w:val="00CC41BD"/>
    <w:rsid w:val="00CC6CDB"/>
    <w:rsid w:val="00CE3A79"/>
    <w:rsid w:val="00CF1941"/>
    <w:rsid w:val="00CF67AB"/>
    <w:rsid w:val="00D04617"/>
    <w:rsid w:val="00D04E75"/>
    <w:rsid w:val="00D05290"/>
    <w:rsid w:val="00D12063"/>
    <w:rsid w:val="00D16EE1"/>
    <w:rsid w:val="00D22132"/>
    <w:rsid w:val="00D23FD0"/>
    <w:rsid w:val="00D27F75"/>
    <w:rsid w:val="00D3207A"/>
    <w:rsid w:val="00D347DE"/>
    <w:rsid w:val="00D45377"/>
    <w:rsid w:val="00D45DDA"/>
    <w:rsid w:val="00D52DA8"/>
    <w:rsid w:val="00D5766D"/>
    <w:rsid w:val="00D60FEF"/>
    <w:rsid w:val="00D62254"/>
    <w:rsid w:val="00D6790F"/>
    <w:rsid w:val="00D679B2"/>
    <w:rsid w:val="00D70EC0"/>
    <w:rsid w:val="00D86374"/>
    <w:rsid w:val="00DB35B9"/>
    <w:rsid w:val="00DB7664"/>
    <w:rsid w:val="00DD207A"/>
    <w:rsid w:val="00DD2166"/>
    <w:rsid w:val="00DD2869"/>
    <w:rsid w:val="00DD3004"/>
    <w:rsid w:val="00DE1213"/>
    <w:rsid w:val="00DE7C5C"/>
    <w:rsid w:val="00E04F96"/>
    <w:rsid w:val="00E05668"/>
    <w:rsid w:val="00E06E92"/>
    <w:rsid w:val="00E074E2"/>
    <w:rsid w:val="00E3393A"/>
    <w:rsid w:val="00E418D1"/>
    <w:rsid w:val="00E420A2"/>
    <w:rsid w:val="00E4713A"/>
    <w:rsid w:val="00E548E0"/>
    <w:rsid w:val="00E561EC"/>
    <w:rsid w:val="00E5710C"/>
    <w:rsid w:val="00E64BC2"/>
    <w:rsid w:val="00E7408A"/>
    <w:rsid w:val="00E76373"/>
    <w:rsid w:val="00E768D5"/>
    <w:rsid w:val="00E80C8D"/>
    <w:rsid w:val="00E8159B"/>
    <w:rsid w:val="00E95977"/>
    <w:rsid w:val="00E964B7"/>
    <w:rsid w:val="00EA1954"/>
    <w:rsid w:val="00EB22E5"/>
    <w:rsid w:val="00EB4F79"/>
    <w:rsid w:val="00EB53BC"/>
    <w:rsid w:val="00ED6D64"/>
    <w:rsid w:val="00EE102C"/>
    <w:rsid w:val="00EE6835"/>
    <w:rsid w:val="00EF4967"/>
    <w:rsid w:val="00F12BBC"/>
    <w:rsid w:val="00F21A28"/>
    <w:rsid w:val="00F229D0"/>
    <w:rsid w:val="00F26729"/>
    <w:rsid w:val="00F3741F"/>
    <w:rsid w:val="00F53108"/>
    <w:rsid w:val="00F56CEE"/>
    <w:rsid w:val="00F74BF2"/>
    <w:rsid w:val="00F871E0"/>
    <w:rsid w:val="00F908EB"/>
    <w:rsid w:val="00F91F44"/>
    <w:rsid w:val="00F9508A"/>
    <w:rsid w:val="00FA1007"/>
    <w:rsid w:val="00FB2DF2"/>
    <w:rsid w:val="00FC0002"/>
    <w:rsid w:val="00FC3F7B"/>
    <w:rsid w:val="00FC772A"/>
    <w:rsid w:val="00FD1FD3"/>
    <w:rsid w:val="00FE29B3"/>
    <w:rsid w:val="00FF04B5"/>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89D35"/>
  <w15:docId w15:val="{033D459A-44B5-4D17-8F8E-7174896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723"/>
    <w:rPr>
      <w:sz w:val="22"/>
    </w:rPr>
  </w:style>
  <w:style w:type="paragraph" w:styleId="Heading1">
    <w:name w:val="heading 1"/>
    <w:basedOn w:val="Normal"/>
    <w:next w:val="Normal"/>
    <w:link w:val="Heading1Char"/>
    <w:uiPriority w:val="9"/>
    <w:qFormat/>
    <w:rsid w:val="009841D6"/>
    <w:pPr>
      <w:keepNext/>
      <w:keepLines/>
      <w:spacing w:before="240"/>
      <w:outlineLvl w:val="0"/>
    </w:pPr>
    <w:rPr>
      <w:rFonts w:ascii="Verdana" w:eastAsiaTheme="majorEastAsia" w:hAnsi="Verdana" w:cstheme="majorBidi"/>
      <w:color w:val="0067AC"/>
      <w:sz w:val="32"/>
      <w:szCs w:val="32"/>
    </w:rPr>
  </w:style>
  <w:style w:type="paragraph" w:styleId="Heading2">
    <w:name w:val="heading 2"/>
    <w:basedOn w:val="Normal"/>
    <w:next w:val="Normal"/>
    <w:link w:val="Heading2Char"/>
    <w:uiPriority w:val="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Heading3">
    <w:name w:val="heading 3"/>
    <w:basedOn w:val="Normal"/>
    <w:next w:val="Normal"/>
    <w:link w:val="Heading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1D6"/>
    <w:rPr>
      <w:rFonts w:ascii="Verdana" w:eastAsiaTheme="majorEastAsia" w:hAnsi="Verdana" w:cstheme="majorBidi"/>
      <w:color w:val="0067AC"/>
      <w:sz w:val="32"/>
      <w:szCs w:val="32"/>
    </w:rPr>
  </w:style>
  <w:style w:type="character" w:customStyle="1" w:styleId="Heading2Char">
    <w:name w:val="Heading 2 Char"/>
    <w:basedOn w:val="DefaultParagraphFont"/>
    <w:link w:val="Heading2"/>
    <w:uiPriority w:val="9"/>
    <w:rsid w:val="009841D6"/>
    <w:rPr>
      <w:rFonts w:ascii="Verdana" w:eastAsiaTheme="majorEastAsia" w:hAnsi="Verdana" w:cstheme="majorBidi"/>
      <w:color w:val="0067AC"/>
      <w:sz w:val="28"/>
      <w:szCs w:val="26"/>
    </w:rPr>
  </w:style>
  <w:style w:type="character" w:customStyle="1" w:styleId="Heading3Char">
    <w:name w:val="Heading 3 Char"/>
    <w:basedOn w:val="DefaultParagraphFont"/>
    <w:link w:val="Heading3"/>
    <w:uiPriority w:val="9"/>
    <w:rsid w:val="009841D6"/>
    <w:rPr>
      <w:rFonts w:ascii="Verdana" w:eastAsiaTheme="majorEastAsia" w:hAnsi="Verdana" w:cstheme="majorBidi"/>
      <w:color w:val="0067AC"/>
      <w:sz w:val="24"/>
      <w:szCs w:val="24"/>
    </w:rPr>
  </w:style>
  <w:style w:type="paragraph" w:styleId="NoSpacing">
    <w:name w:val="No Spacing"/>
    <w:uiPriority w:val="1"/>
    <w:rsid w:val="005316F2"/>
    <w:pPr>
      <w:spacing w:after="0" w:line="240" w:lineRule="auto"/>
    </w:pPr>
  </w:style>
  <w:style w:type="paragraph" w:styleId="Header">
    <w:name w:val="header"/>
    <w:basedOn w:val="Normal"/>
    <w:link w:val="HeaderChar"/>
    <w:uiPriority w:val="99"/>
    <w:unhideWhenUsed/>
    <w:rsid w:val="000948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480D"/>
  </w:style>
  <w:style w:type="paragraph" w:styleId="Footer">
    <w:name w:val="footer"/>
    <w:basedOn w:val="Normal"/>
    <w:link w:val="FooterChar"/>
    <w:uiPriority w:val="99"/>
    <w:unhideWhenUsed/>
    <w:rsid w:val="000948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paragraph" w:styleId="ListParagraph">
    <w:name w:val="List Paragraph"/>
    <w:basedOn w:val="Normal"/>
    <w:uiPriority w:val="34"/>
    <w:qFormat/>
    <w:rsid w:val="00CB2766"/>
    <w:pPr>
      <w:ind w:left="720"/>
      <w:contextualSpacing/>
    </w:pPr>
  </w:style>
  <w:style w:type="character" w:styleId="CommentReference">
    <w:name w:val="annotation reference"/>
    <w:basedOn w:val="DefaultParagraphFont"/>
    <w:uiPriority w:val="99"/>
    <w:semiHidden/>
    <w:unhideWhenUsed/>
    <w:rsid w:val="00C308DE"/>
    <w:rPr>
      <w:sz w:val="16"/>
      <w:szCs w:val="16"/>
    </w:rPr>
  </w:style>
  <w:style w:type="paragraph" w:styleId="CommentText">
    <w:name w:val="annotation text"/>
    <w:basedOn w:val="Normal"/>
    <w:link w:val="CommentTextChar"/>
    <w:uiPriority w:val="99"/>
    <w:semiHidden/>
    <w:unhideWhenUsed/>
    <w:rsid w:val="00C308DE"/>
    <w:pPr>
      <w:spacing w:line="240" w:lineRule="auto"/>
    </w:pPr>
    <w:rPr>
      <w:sz w:val="20"/>
    </w:rPr>
  </w:style>
  <w:style w:type="character" w:customStyle="1" w:styleId="CommentTextChar">
    <w:name w:val="Comment Text Char"/>
    <w:basedOn w:val="DefaultParagraphFont"/>
    <w:link w:val="CommentText"/>
    <w:uiPriority w:val="99"/>
    <w:semiHidden/>
    <w:rsid w:val="00C308DE"/>
  </w:style>
  <w:style w:type="paragraph" w:styleId="CommentSubject">
    <w:name w:val="annotation subject"/>
    <w:basedOn w:val="CommentText"/>
    <w:next w:val="CommentText"/>
    <w:link w:val="CommentSubjectChar"/>
    <w:uiPriority w:val="99"/>
    <w:semiHidden/>
    <w:unhideWhenUsed/>
    <w:rsid w:val="00C308DE"/>
    <w:rPr>
      <w:b/>
      <w:bCs/>
    </w:rPr>
  </w:style>
  <w:style w:type="character" w:customStyle="1" w:styleId="CommentSubjectChar">
    <w:name w:val="Comment Subject Char"/>
    <w:basedOn w:val="CommentTextChar"/>
    <w:link w:val="CommentSubject"/>
    <w:uiPriority w:val="99"/>
    <w:semiHidden/>
    <w:rsid w:val="00C308DE"/>
    <w:rPr>
      <w:b/>
      <w:bCs/>
    </w:rPr>
  </w:style>
  <w:style w:type="table" w:styleId="TableGrid">
    <w:name w:val="Table Grid"/>
    <w:basedOn w:val="TableNormal"/>
    <w:uiPriority w:val="59"/>
    <w:rsid w:val="00EA1954"/>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ktulnyzoznam1">
    <w:name w:val="Aktuálny zoznam1"/>
    <w:uiPriority w:val="99"/>
    <w:rsid w:val="00F53108"/>
  </w:style>
  <w:style w:type="paragraph" w:customStyle="1" w:styleId="Default">
    <w:name w:val="Default"/>
    <w:rsid w:val="00055011"/>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3D2524"/>
    <w:pPr>
      <w:spacing w:after="0" w:line="240" w:lineRule="auto"/>
    </w:pPr>
    <w:rPr>
      <w:sz w:val="22"/>
    </w:rPr>
  </w:style>
  <w:style w:type="character" w:customStyle="1" w:styleId="FontStyle15">
    <w:name w:val="Font Style15"/>
    <w:basedOn w:val="DefaultParagraphFont"/>
    <w:uiPriority w:val="99"/>
    <w:rsid w:val="00D3207A"/>
    <w:rPr>
      <w:rFonts w:ascii="Calibri" w:hAnsi="Calibri" w:cs="Calibri"/>
      <w:color w:val="000000"/>
      <w:sz w:val="20"/>
      <w:szCs w:val="20"/>
    </w:rPr>
  </w:style>
  <w:style w:type="character" w:customStyle="1" w:styleId="FontStyle48">
    <w:name w:val="Font Style48"/>
    <w:basedOn w:val="DefaultParagraphFont"/>
    <w:uiPriority w:val="99"/>
    <w:rsid w:val="005D263F"/>
    <w:rPr>
      <w:rFonts w:ascii="Verdana" w:hAnsi="Verdana" w:cs="Verdana"/>
      <w:color w:val="000000"/>
      <w:sz w:val="20"/>
      <w:szCs w:val="20"/>
    </w:rPr>
  </w:style>
  <w:style w:type="paragraph" w:customStyle="1" w:styleId="LegislativaOdsek">
    <w:name w:val="Legislativa Odsek"/>
    <w:qFormat/>
    <w:rsid w:val="003E581F"/>
    <w:pPr>
      <w:tabs>
        <w:tab w:val="left" w:pos="851"/>
      </w:tabs>
      <w:spacing w:before="120" w:after="0" w:line="240" w:lineRule="auto"/>
      <w:jc w:val="both"/>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91046">
      <w:bodyDiv w:val="1"/>
      <w:marLeft w:val="0"/>
      <w:marRight w:val="0"/>
      <w:marTop w:val="0"/>
      <w:marBottom w:val="0"/>
      <w:divBdr>
        <w:top w:val="none" w:sz="0" w:space="0" w:color="auto"/>
        <w:left w:val="none" w:sz="0" w:space="0" w:color="auto"/>
        <w:bottom w:val="none" w:sz="0" w:space="0" w:color="auto"/>
        <w:right w:val="none" w:sz="0" w:space="0" w:color="auto"/>
      </w:divBdr>
    </w:div>
    <w:div w:id="705953925">
      <w:bodyDiv w:val="1"/>
      <w:marLeft w:val="0"/>
      <w:marRight w:val="0"/>
      <w:marTop w:val="0"/>
      <w:marBottom w:val="0"/>
      <w:divBdr>
        <w:top w:val="none" w:sz="0" w:space="0" w:color="auto"/>
        <w:left w:val="none" w:sz="0" w:space="0" w:color="auto"/>
        <w:bottom w:val="none" w:sz="0" w:space="0" w:color="auto"/>
        <w:right w:val="none" w:sz="0" w:space="0" w:color="auto"/>
      </w:divBdr>
    </w:div>
    <w:div w:id="128118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32EE8-0EA0-437C-B3D2-1106AE0D6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11947</Words>
  <Characters>68102</Characters>
  <Application>Microsoft Office Word</Application>
  <DocSecurity>0</DocSecurity>
  <Lines>567</Lines>
  <Paragraphs>159</Paragraphs>
  <ScaleCrop>false</ScaleCrop>
  <HeadingPairs>
    <vt:vector size="6" baseType="variant">
      <vt:variant>
        <vt:lpstr>Title</vt:lpstr>
      </vt:variant>
      <vt:variant>
        <vt:i4>1</vt:i4>
      </vt:variant>
      <vt:variant>
        <vt:lpstr>Název</vt:lpstr>
      </vt:variant>
      <vt:variant>
        <vt:i4>1</vt:i4>
      </vt:variant>
      <vt:variant>
        <vt:lpstr>Názov</vt:lpstr>
      </vt:variant>
      <vt:variant>
        <vt:i4>1</vt:i4>
      </vt:variant>
    </vt:vector>
  </HeadingPairs>
  <TitlesOfParts>
    <vt:vector size="3" baseType="lpstr">
      <vt:lpstr/>
      <vt:lpstr/>
      <vt:lpstr/>
    </vt:vector>
  </TitlesOfParts>
  <Company>MÚDRY PREKLAD s.r.o.</Company>
  <LinksUpToDate>false</LinksUpToDate>
  <CharactersWithSpaces>79890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Mrvová Zuzana</cp:lastModifiedBy>
  <cp:revision>2</cp:revision>
  <dcterms:created xsi:type="dcterms:W3CDTF">2022-10-25T10:40:00Z</dcterms:created>
  <dcterms:modified xsi:type="dcterms:W3CDTF">2022-10-25T10:40:00Z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ÚDRY PREKLAD s.r.o.">
    <vt:lpwstr> </vt:lpwstr>
  </property>
</Properties>
</file>