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EFA2" w14:textId="77777777" w:rsidR="00D734CB" w:rsidRPr="002F1953" w:rsidRDefault="00D734CB" w:rsidP="00D734CB">
      <w:pPr>
        <w:pStyle w:val="Default"/>
      </w:pPr>
    </w:p>
    <w:p w14:paraId="1E5008AC" w14:textId="6D475C49" w:rsidR="00D734CB" w:rsidRPr="004E0825" w:rsidRDefault="00D734CB" w:rsidP="004E0825">
      <w:pPr>
        <w:pStyle w:val="Default"/>
        <w:jc w:val="center"/>
        <w:rPr>
          <w:b/>
          <w:bCs/>
          <w:sz w:val="28"/>
          <w:szCs w:val="28"/>
        </w:rPr>
      </w:pPr>
      <w:r w:rsidRPr="004E0825">
        <w:rPr>
          <w:b/>
          <w:bCs/>
          <w:sz w:val="28"/>
          <w:szCs w:val="28"/>
        </w:rPr>
        <w:t>Usmernenie k uplatňovaniu výnimiek z ohlasovacej povinnosti podľa článku 9 ods. 1 EMIR</w:t>
      </w:r>
      <w:r w:rsidR="004E0825" w:rsidRPr="004E0825">
        <w:rPr>
          <w:b/>
          <w:bCs/>
          <w:sz w:val="28"/>
          <w:szCs w:val="28"/>
        </w:rPr>
        <w:t xml:space="preserve"> v znení nariadenia 2019/834 </w:t>
      </w:r>
      <w:r w:rsidRPr="004E0825">
        <w:rPr>
          <w:b/>
          <w:bCs/>
          <w:sz w:val="28"/>
          <w:szCs w:val="28"/>
        </w:rPr>
        <w:t xml:space="preserve"> na derivátové transakcie v rámci tej istej skupiny</w:t>
      </w:r>
    </w:p>
    <w:p w14:paraId="0DA8A0A1" w14:textId="77777777" w:rsidR="00D734CB" w:rsidRPr="002F1953" w:rsidRDefault="00D734CB" w:rsidP="00D734CB">
      <w:pPr>
        <w:pStyle w:val="Default"/>
        <w:rPr>
          <w:b/>
          <w:bCs/>
          <w:sz w:val="23"/>
          <w:szCs w:val="23"/>
        </w:rPr>
      </w:pPr>
    </w:p>
    <w:p w14:paraId="7F697AD5" w14:textId="05B1257E" w:rsidR="00D734CB" w:rsidRPr="002F1953" w:rsidRDefault="00D734CB" w:rsidP="00D734CB">
      <w:pPr>
        <w:pStyle w:val="Default"/>
        <w:jc w:val="center"/>
      </w:pPr>
      <w:r w:rsidRPr="002F1953">
        <w:rPr>
          <w:b/>
          <w:bCs/>
        </w:rPr>
        <w:t>Všeobecné informácie</w:t>
      </w:r>
    </w:p>
    <w:p w14:paraId="087544DE" w14:textId="77777777" w:rsidR="00D734CB" w:rsidRPr="002F1953" w:rsidRDefault="00D734CB" w:rsidP="00D734CB">
      <w:pPr>
        <w:pStyle w:val="Default"/>
      </w:pPr>
    </w:p>
    <w:p w14:paraId="0C9A411B" w14:textId="670DFB5C" w:rsidR="00D734CB" w:rsidRPr="002F1953" w:rsidRDefault="00D734CB" w:rsidP="001802A0">
      <w:pPr>
        <w:pStyle w:val="Default"/>
        <w:numPr>
          <w:ilvl w:val="0"/>
          <w:numId w:val="2"/>
        </w:numPr>
      </w:pPr>
      <w:r w:rsidRPr="002F1953">
        <w:t xml:space="preserve">Podľa </w:t>
      </w:r>
      <w:r w:rsidRPr="002F1953">
        <w:rPr>
          <w:b/>
          <w:bCs/>
        </w:rPr>
        <w:t xml:space="preserve">článku 9 ods. 1 EMIR </w:t>
      </w:r>
      <w:r w:rsidR="004E0825">
        <w:t>v znení nariadenia 2019/834</w:t>
      </w:r>
      <w:r w:rsidR="00F95892">
        <w:t xml:space="preserve"> (EMIR </w:t>
      </w:r>
      <w:proofErr w:type="spellStart"/>
      <w:r w:rsidR="00F95892">
        <w:t>Refit</w:t>
      </w:r>
      <w:proofErr w:type="spellEnd"/>
      <w:r w:rsidR="00F95892">
        <w:t>)</w:t>
      </w:r>
    </w:p>
    <w:p w14:paraId="14C068E0" w14:textId="77777777" w:rsidR="00D734CB" w:rsidRPr="002F1953" w:rsidRDefault="00D734CB" w:rsidP="00D734CB">
      <w:pPr>
        <w:pStyle w:val="Default"/>
      </w:pPr>
    </w:p>
    <w:p w14:paraId="34841877" w14:textId="77777777" w:rsidR="00D734CB" w:rsidRPr="002F1953" w:rsidRDefault="00D734CB" w:rsidP="001802A0">
      <w:pPr>
        <w:pStyle w:val="Default"/>
        <w:ind w:left="360"/>
        <w:jc w:val="both"/>
      </w:pPr>
      <w:r w:rsidRPr="002F1953">
        <w:rPr>
          <w:i/>
          <w:iCs/>
        </w:rPr>
        <w:t xml:space="preserve">„Protistrany a centrálne protistrany zabezpečia, aby sa údaje o každej zmluve o derivátoch, ktorú uzatvorili, a o každej zmene alebo ukončení takejto zmluvy ohlásili v súlade s odsekmi 1a až 1f tohto článku archívu obchodných údajov registrovanému v súlade s článkom 55 alebo uznanému v súlade s článkom 77. Údaje sa ohlásia najneskôr v pracovný deň nasledujúci po uzatvorení, zmene alebo ukončení zmluvy. </w:t>
      </w:r>
    </w:p>
    <w:p w14:paraId="25D96BEE" w14:textId="77777777" w:rsidR="00D734CB" w:rsidRPr="002F1953" w:rsidRDefault="00D734CB" w:rsidP="001802A0">
      <w:pPr>
        <w:pStyle w:val="Default"/>
        <w:ind w:left="360"/>
        <w:jc w:val="both"/>
        <w:rPr>
          <w:i/>
          <w:iCs/>
        </w:rPr>
      </w:pPr>
    </w:p>
    <w:p w14:paraId="4AAB64D2" w14:textId="7F5CCAB5" w:rsidR="00D734CB" w:rsidRPr="002F1953" w:rsidRDefault="00D734CB" w:rsidP="001802A0">
      <w:pPr>
        <w:pStyle w:val="Default"/>
        <w:ind w:left="360"/>
        <w:jc w:val="both"/>
      </w:pPr>
      <w:r w:rsidRPr="002F1953">
        <w:rPr>
          <w:i/>
          <w:iCs/>
        </w:rPr>
        <w:t xml:space="preserve">Ohlasovacia povinnosť sa vzťahuje na zmluvy o derivátoch, ktoré: </w:t>
      </w:r>
    </w:p>
    <w:p w14:paraId="2C47B318" w14:textId="77777777" w:rsidR="00D734CB" w:rsidRPr="002F1953" w:rsidRDefault="00D734CB" w:rsidP="001802A0">
      <w:pPr>
        <w:pStyle w:val="Default"/>
        <w:ind w:left="360"/>
        <w:jc w:val="both"/>
      </w:pPr>
      <w:r w:rsidRPr="002F1953">
        <w:rPr>
          <w:i/>
          <w:iCs/>
        </w:rPr>
        <w:t xml:space="preserve">a) sa uzatvorili pred 12. februárom 2014 a v tento deň boli ešte neukončené; </w:t>
      </w:r>
    </w:p>
    <w:p w14:paraId="55AE5B49" w14:textId="77777777" w:rsidR="00D734CB" w:rsidRPr="002F1953" w:rsidRDefault="00D734CB" w:rsidP="001802A0">
      <w:pPr>
        <w:pStyle w:val="Default"/>
        <w:ind w:left="360"/>
        <w:jc w:val="both"/>
      </w:pPr>
      <w:r w:rsidRPr="002F1953">
        <w:rPr>
          <w:i/>
          <w:iCs/>
        </w:rPr>
        <w:t xml:space="preserve">b) sa uzatvorili 12. februára 2014 alebo po tomto dni. </w:t>
      </w:r>
    </w:p>
    <w:p w14:paraId="3C7DBB41" w14:textId="77777777" w:rsidR="00D734CB" w:rsidRPr="002F1953" w:rsidRDefault="00D734CB" w:rsidP="001802A0">
      <w:pPr>
        <w:pStyle w:val="Default"/>
        <w:ind w:left="360"/>
        <w:jc w:val="both"/>
        <w:rPr>
          <w:i/>
          <w:iCs/>
        </w:rPr>
      </w:pPr>
    </w:p>
    <w:p w14:paraId="1CF0E8DF" w14:textId="210E4BC6" w:rsidR="00D734CB" w:rsidRPr="002F1953" w:rsidRDefault="00D734CB" w:rsidP="001802A0">
      <w:pPr>
        <w:pStyle w:val="Default"/>
        <w:ind w:left="360"/>
        <w:jc w:val="both"/>
      </w:pPr>
      <w:r w:rsidRPr="002F1953">
        <w:rPr>
          <w:i/>
          <w:iCs/>
        </w:rPr>
        <w:t xml:space="preserve">Bez ohľadu na článok 3 </w:t>
      </w:r>
      <w:r w:rsidRPr="002F1953">
        <w:rPr>
          <w:b/>
          <w:bCs/>
          <w:i/>
          <w:iCs/>
        </w:rPr>
        <w:t xml:space="preserve">sa ohlasovacia povinnosť nevzťahuje na zmluvy o derivátoch v rámci tej istej skupiny, ak je aspoň jedna z protistrán nefinančnou protistranou, alebo by sa kvalifikovala ako nefinančná protistrana, ak by bola usadená v Únii, za predpokladu, že: </w:t>
      </w:r>
    </w:p>
    <w:p w14:paraId="21E5F470" w14:textId="77777777" w:rsidR="00D734CB" w:rsidRPr="002F1953" w:rsidRDefault="00D734CB" w:rsidP="001802A0">
      <w:pPr>
        <w:pStyle w:val="Default"/>
        <w:ind w:left="360"/>
        <w:jc w:val="both"/>
        <w:rPr>
          <w:b/>
          <w:bCs/>
          <w:i/>
          <w:iCs/>
        </w:rPr>
      </w:pPr>
    </w:p>
    <w:p w14:paraId="61227552" w14:textId="674B42FD" w:rsidR="00D734CB" w:rsidRPr="002F1953" w:rsidRDefault="00D734CB" w:rsidP="001802A0">
      <w:pPr>
        <w:pStyle w:val="Default"/>
        <w:ind w:left="360"/>
        <w:jc w:val="both"/>
      </w:pPr>
      <w:r w:rsidRPr="002F1953">
        <w:rPr>
          <w:b/>
          <w:bCs/>
          <w:i/>
          <w:iCs/>
        </w:rPr>
        <w:t>a) obe protistrany sú v plnom rozsahu zahrnuté do rovnakej konsolidácie</w:t>
      </w:r>
      <w:r w:rsidR="007C3948">
        <w:rPr>
          <w:b/>
          <w:bCs/>
          <w:i/>
          <w:iCs/>
        </w:rPr>
        <w:t>,</w:t>
      </w:r>
      <w:r w:rsidRPr="002F1953">
        <w:rPr>
          <w:b/>
          <w:bCs/>
          <w:i/>
          <w:iCs/>
        </w:rPr>
        <w:t xml:space="preserve"> </w:t>
      </w:r>
    </w:p>
    <w:p w14:paraId="01FBC17B" w14:textId="4D55D56D" w:rsidR="00D734CB" w:rsidRPr="002F1953" w:rsidRDefault="00D734CB" w:rsidP="001802A0">
      <w:pPr>
        <w:pStyle w:val="Default"/>
        <w:ind w:left="360"/>
        <w:jc w:val="both"/>
      </w:pPr>
      <w:r w:rsidRPr="002F1953">
        <w:rPr>
          <w:b/>
          <w:bCs/>
          <w:i/>
          <w:iCs/>
        </w:rPr>
        <w:t xml:space="preserve">b) obe protistrany podliehajú primeraným centralizovaným postupom hodnotenia, merania a kontroly rizika a </w:t>
      </w:r>
    </w:p>
    <w:p w14:paraId="323A345F" w14:textId="77777777" w:rsidR="00D734CB" w:rsidRPr="002F1953" w:rsidRDefault="00D734CB" w:rsidP="001802A0">
      <w:pPr>
        <w:pStyle w:val="Default"/>
        <w:ind w:left="360"/>
        <w:jc w:val="both"/>
      </w:pPr>
      <w:r w:rsidRPr="002F1953">
        <w:rPr>
          <w:b/>
          <w:bCs/>
          <w:i/>
          <w:iCs/>
        </w:rPr>
        <w:t xml:space="preserve">c) materský podnik nie je finančnou protistranou. </w:t>
      </w:r>
    </w:p>
    <w:p w14:paraId="46825EAB" w14:textId="77777777" w:rsidR="00D734CB" w:rsidRPr="002F1953" w:rsidRDefault="00D734CB" w:rsidP="001802A0">
      <w:pPr>
        <w:pStyle w:val="Default"/>
        <w:ind w:left="360"/>
        <w:jc w:val="both"/>
        <w:rPr>
          <w:b/>
          <w:bCs/>
          <w:i/>
          <w:iCs/>
        </w:rPr>
      </w:pPr>
    </w:p>
    <w:p w14:paraId="7DF7EC30" w14:textId="0DDF31B3" w:rsidR="00D734CB" w:rsidRPr="002F1953" w:rsidRDefault="00D734CB" w:rsidP="001802A0">
      <w:pPr>
        <w:pStyle w:val="Default"/>
        <w:ind w:left="360"/>
        <w:jc w:val="both"/>
      </w:pPr>
      <w:r w:rsidRPr="002F1953">
        <w:rPr>
          <w:b/>
          <w:bCs/>
          <w:i/>
          <w:iCs/>
        </w:rPr>
        <w:t xml:space="preserve">Protistrany oznámia svoj zámer uplatňovať výnimku uvedenú v treťom </w:t>
      </w:r>
      <w:proofErr w:type="spellStart"/>
      <w:r w:rsidRPr="002F1953">
        <w:rPr>
          <w:b/>
          <w:bCs/>
          <w:i/>
          <w:iCs/>
        </w:rPr>
        <w:t>pododseku</w:t>
      </w:r>
      <w:proofErr w:type="spellEnd"/>
      <w:r w:rsidRPr="002F1953">
        <w:rPr>
          <w:b/>
          <w:bCs/>
          <w:i/>
          <w:iCs/>
        </w:rPr>
        <w:t xml:space="preserve"> svojim príslušným orgánom. Výnimka je platná okrem prípadu, keď sa príslušné orgány, ktorým bola oznámená, do troch mesiacov odo dňa oznámenia nezhodnú na splnení podmienok uvedených v treťom </w:t>
      </w:r>
      <w:proofErr w:type="spellStart"/>
      <w:r w:rsidRPr="002F1953">
        <w:rPr>
          <w:b/>
          <w:bCs/>
          <w:i/>
          <w:iCs/>
        </w:rPr>
        <w:t>pododseku</w:t>
      </w:r>
      <w:proofErr w:type="spellEnd"/>
      <w:r w:rsidRPr="002F1953">
        <w:rPr>
          <w:b/>
          <w:bCs/>
          <w:i/>
          <w:iCs/>
        </w:rPr>
        <w:t>.</w:t>
      </w:r>
      <w:r w:rsidRPr="002F1953">
        <w:rPr>
          <w:i/>
          <w:iCs/>
        </w:rPr>
        <w:t xml:space="preserve">“. </w:t>
      </w:r>
    </w:p>
    <w:p w14:paraId="6B08FBDE" w14:textId="77777777" w:rsidR="00D734CB" w:rsidRPr="002F1953" w:rsidRDefault="00D734CB" w:rsidP="00D734CB">
      <w:pPr>
        <w:pStyle w:val="Default"/>
        <w:spacing w:after="50"/>
      </w:pPr>
    </w:p>
    <w:p w14:paraId="2B2CEFD0" w14:textId="50941F3D" w:rsidR="00D734CB" w:rsidRPr="002F1953" w:rsidRDefault="00D734CB" w:rsidP="00E84C67">
      <w:pPr>
        <w:pStyle w:val="Default"/>
        <w:numPr>
          <w:ilvl w:val="0"/>
          <w:numId w:val="2"/>
        </w:numPr>
        <w:spacing w:after="50"/>
        <w:jc w:val="both"/>
      </w:pPr>
      <w:r w:rsidRPr="002F1953">
        <w:rPr>
          <w:b/>
          <w:bCs/>
        </w:rPr>
        <w:t xml:space="preserve">Transakcie v rámci skupiny </w:t>
      </w:r>
      <w:r w:rsidRPr="002F1953">
        <w:t xml:space="preserve">sú vymedzené v článku 3 EMIR. Všeobecné podmienky, ktoré musia spĺňať protistrany pre transakcie v rámci skupiny, týkajúce sa OTC derivátových kontraktov sú: </w:t>
      </w:r>
    </w:p>
    <w:p w14:paraId="75F8DA7F" w14:textId="6AE39263" w:rsidR="00D734CB" w:rsidRPr="002F1953" w:rsidRDefault="00D734CB" w:rsidP="00E84C67">
      <w:pPr>
        <w:pStyle w:val="Default"/>
        <w:numPr>
          <w:ilvl w:val="0"/>
          <w:numId w:val="3"/>
        </w:numPr>
        <w:spacing w:after="50"/>
        <w:jc w:val="both"/>
      </w:pPr>
      <w:r w:rsidRPr="002F1953">
        <w:t xml:space="preserve">obidve protistrany sú v plnom rozsahu zahrnuté do rovnakej konsolidácie (článok 3 ods. 3 EMIR), </w:t>
      </w:r>
    </w:p>
    <w:p w14:paraId="66E33577" w14:textId="00CC4873" w:rsidR="00D734CB" w:rsidRPr="002F1953" w:rsidRDefault="00D734CB" w:rsidP="00E84C67">
      <w:pPr>
        <w:pStyle w:val="Default"/>
        <w:numPr>
          <w:ilvl w:val="0"/>
          <w:numId w:val="3"/>
        </w:numPr>
        <w:spacing w:after="50"/>
        <w:jc w:val="both"/>
      </w:pPr>
      <w:r w:rsidRPr="002F1953">
        <w:t xml:space="preserve">obidve protistrany podliehajú primeraným centralizovaným postupom hodnotenia, merania a kontroly rizík, </w:t>
      </w:r>
    </w:p>
    <w:p w14:paraId="358715D6" w14:textId="13357EB1" w:rsidR="00D734CB" w:rsidRPr="002F1953" w:rsidRDefault="00D734CB" w:rsidP="00E84C67">
      <w:pPr>
        <w:pStyle w:val="Default"/>
        <w:numPr>
          <w:ilvl w:val="0"/>
          <w:numId w:val="3"/>
        </w:numPr>
        <w:jc w:val="both"/>
      </w:pPr>
      <w:r w:rsidRPr="002F1953">
        <w:t xml:space="preserve">protistrana je usadená v EÚ alebo, ak je usadená v tretej krajine, Komisia prijala vo vzťahu k danej tretej krajine vykonávací akt podľa článku 13 ods. 2 EMIR. </w:t>
      </w:r>
    </w:p>
    <w:p w14:paraId="1A5D7309" w14:textId="77777777" w:rsidR="00D734CB" w:rsidRPr="002F1953" w:rsidRDefault="00D734CB" w:rsidP="00D734CB">
      <w:pPr>
        <w:pStyle w:val="Default"/>
      </w:pPr>
    </w:p>
    <w:p w14:paraId="0E12CDE7" w14:textId="77777777" w:rsidR="00D734CB" w:rsidRPr="002F1953" w:rsidRDefault="00D734CB" w:rsidP="00D734CB">
      <w:pPr>
        <w:pStyle w:val="Default"/>
        <w:pageBreakBefore/>
      </w:pPr>
    </w:p>
    <w:p w14:paraId="0271E226" w14:textId="3EFF66A8" w:rsidR="00D734CB" w:rsidRPr="002F1953" w:rsidRDefault="00D734CB" w:rsidP="00E84C67">
      <w:pPr>
        <w:pStyle w:val="Default"/>
        <w:numPr>
          <w:ilvl w:val="0"/>
          <w:numId w:val="2"/>
        </w:numPr>
        <w:spacing w:after="50"/>
        <w:jc w:val="both"/>
      </w:pPr>
      <w:r w:rsidRPr="002F1953">
        <w:t xml:space="preserve">Na účely ods. 2 písm. a) podľa článku 3 ods. 3 EMIR sa má za to, že protistrany sú zahrnuté do tej istej konsolidácie, ak sú obe: </w:t>
      </w:r>
    </w:p>
    <w:p w14:paraId="65FD8D5D" w14:textId="262D5E85" w:rsidR="00D734CB" w:rsidRPr="002F1953" w:rsidRDefault="00D734CB" w:rsidP="00E84C67">
      <w:pPr>
        <w:pStyle w:val="Default"/>
        <w:numPr>
          <w:ilvl w:val="0"/>
          <w:numId w:val="4"/>
        </w:numPr>
        <w:spacing w:after="50"/>
        <w:jc w:val="both"/>
      </w:pPr>
      <w:r w:rsidRPr="002F1953">
        <w:t xml:space="preserve">zahrnuté do konsolidácie v súlade so smernicou 83/349/EHS alebo medzinárodnými normami finančného výkazníctva prijatými v súlade s nariadením (ES) č. 1606/2002 alebo, pokiaľ ide o skupinu, ktorej materský podnik má sídlo v tretej krajine, v súlade so všeobecne prijatými účtovnými zásadami tretej krajiny, ktoré sú určené ako rovnocenné s medzinárodnými normami finančného výkazníctva v súlade s nariadením (ES) č. 1569/2007 (alebo účtovnými normami tretej krajiny, ktorých použitie je povolené podľa článku 4 uvedeného nariadenia), alebo </w:t>
      </w:r>
    </w:p>
    <w:p w14:paraId="4B252684" w14:textId="3CACA5DF" w:rsidR="00D734CB" w:rsidRPr="002F1953" w:rsidRDefault="00D734CB" w:rsidP="00E84C67">
      <w:pPr>
        <w:pStyle w:val="Default"/>
        <w:numPr>
          <w:ilvl w:val="0"/>
          <w:numId w:val="4"/>
        </w:numPr>
        <w:jc w:val="both"/>
      </w:pPr>
      <w:r w:rsidRPr="002F1953">
        <w:t xml:space="preserve">sú zahrnuté do toho istého konsolidovaného dohľadu v súlade so smernicou 2006/48/ES alebo smernicou 2006/49/ES alebo, pokiaľ ide o skupinu, ktorej materský podnik má sídlo v tretej krajine, do toho istého konsolidovaného dohľadu vykonávaného príslušným orgánom tretej krajiny, ktorý bol overený ako rovnocenný s dohľadom, ktorý sa riadi zásadami stanovenými v článku 143 smernice 2006/48/ES alebo v článku 2 smernice 2006/49/ES. </w:t>
      </w:r>
    </w:p>
    <w:p w14:paraId="6B437EDA" w14:textId="77777777" w:rsidR="00D734CB" w:rsidRPr="002F1953" w:rsidRDefault="00D734CB" w:rsidP="00D734CB">
      <w:pPr>
        <w:pStyle w:val="Default"/>
      </w:pPr>
    </w:p>
    <w:p w14:paraId="1766566D" w14:textId="4ED84284" w:rsidR="00D734CB" w:rsidRPr="002F1953" w:rsidRDefault="00D734CB" w:rsidP="002F1953">
      <w:pPr>
        <w:pStyle w:val="Default"/>
        <w:numPr>
          <w:ilvl w:val="0"/>
          <w:numId w:val="2"/>
        </w:numPr>
        <w:spacing w:after="50"/>
        <w:jc w:val="both"/>
      </w:pPr>
      <w:r w:rsidRPr="002F1953">
        <w:t xml:space="preserve">Splnenie podmienky podliehania </w:t>
      </w:r>
      <w:r w:rsidRPr="002F1953">
        <w:rPr>
          <w:b/>
          <w:bCs/>
        </w:rPr>
        <w:t xml:space="preserve">primeraným centralizovaným postupom hodnotenia, merania a kontroly rizík </w:t>
      </w:r>
      <w:r w:rsidRPr="002F1953">
        <w:t xml:space="preserve">podľa ods. 2 písm. b) </w:t>
      </w:r>
      <w:r w:rsidR="00872213">
        <w:t>oznamujúca</w:t>
      </w:r>
      <w:r w:rsidRPr="002F1953">
        <w:t xml:space="preserve"> protistrana Národnej banke Slovenska (ďalej len „NBS“) preukazuje minimálne: </w:t>
      </w:r>
    </w:p>
    <w:p w14:paraId="4C0E565C" w14:textId="48F91210" w:rsidR="00D734CB" w:rsidRPr="002F1953" w:rsidRDefault="00D734CB" w:rsidP="002F1953">
      <w:pPr>
        <w:pStyle w:val="Default"/>
        <w:numPr>
          <w:ilvl w:val="0"/>
          <w:numId w:val="5"/>
        </w:numPr>
        <w:spacing w:after="50"/>
        <w:jc w:val="both"/>
      </w:pPr>
      <w:r w:rsidRPr="002F1953">
        <w:t xml:space="preserve">popísaním politiky riadenia rizík a kontroly rizík s tým ako sú tieto politiky centrálne vymedzené a uplatňované, </w:t>
      </w:r>
    </w:p>
    <w:p w14:paraId="5D13DB31" w14:textId="4C8AF080" w:rsidR="00D734CB" w:rsidRPr="002F1953" w:rsidRDefault="00D734CB" w:rsidP="002F1953">
      <w:pPr>
        <w:pStyle w:val="Default"/>
        <w:numPr>
          <w:ilvl w:val="0"/>
          <w:numId w:val="5"/>
        </w:numPr>
        <w:spacing w:after="50"/>
        <w:jc w:val="both"/>
      </w:pPr>
      <w:r w:rsidRPr="002F1953">
        <w:t xml:space="preserve">preukázaním, že vrcholový manažment je zodpovedný za riadenie rizík a meranie rizík pravidelne preskúmava (uvedie sa aj interval pravidelného preskúmania), </w:t>
      </w:r>
    </w:p>
    <w:p w14:paraId="5DCCC37C" w14:textId="59DFEECF" w:rsidR="00D734CB" w:rsidRPr="002F1953" w:rsidRDefault="00D734CB" w:rsidP="002F1953">
      <w:pPr>
        <w:pStyle w:val="Default"/>
        <w:numPr>
          <w:ilvl w:val="0"/>
          <w:numId w:val="5"/>
        </w:numPr>
        <w:spacing w:after="50"/>
        <w:jc w:val="both"/>
      </w:pPr>
      <w:r w:rsidRPr="002F1953">
        <w:t xml:space="preserve">preukázaním, že sú zavedené pravidelné a transparentné mechanizmy komunikácie v rámci organizácie, aby predstavenstvo, vrcholový manažment, príslušný obchodný útvar, funkcia riadenia rizík a ostatné kontrolné funkcie mohli zdieľať informácie o meraní, analýzach a monitoringu rizík, </w:t>
      </w:r>
    </w:p>
    <w:p w14:paraId="13746057" w14:textId="70203D5F" w:rsidR="00D734CB" w:rsidRPr="002F1953" w:rsidRDefault="00D734CB" w:rsidP="002F1953">
      <w:pPr>
        <w:pStyle w:val="Default"/>
        <w:numPr>
          <w:ilvl w:val="0"/>
          <w:numId w:val="5"/>
        </w:numPr>
        <w:spacing w:after="50"/>
        <w:jc w:val="both"/>
      </w:pPr>
      <w:r w:rsidRPr="002F1953">
        <w:t xml:space="preserve">preukázaním, že vnútorné postupy a informačné systémy sú jednotné v celej inštitúcii a sú dostatočne spoľahlivé na to, aby sa všetky zdroje príslušných rizík mohli identifikovať, merať a monitorovať na agregovanej báze a v rozsahu, ktorý je potrebný pre subjekt, obchodný útvar (business </w:t>
      </w:r>
      <w:proofErr w:type="spellStart"/>
      <w:r w:rsidRPr="002F1953">
        <w:t>line</w:t>
      </w:r>
      <w:proofErr w:type="spellEnd"/>
      <w:r w:rsidRPr="002F1953">
        <w:t xml:space="preserve">) a portfólio, a </w:t>
      </w:r>
    </w:p>
    <w:p w14:paraId="72A0997B" w14:textId="6E58F28D" w:rsidR="00D734CB" w:rsidRPr="002F1953" w:rsidRDefault="00D734CB" w:rsidP="002F1953">
      <w:pPr>
        <w:pStyle w:val="Default"/>
        <w:numPr>
          <w:ilvl w:val="0"/>
          <w:numId w:val="5"/>
        </w:numPr>
        <w:jc w:val="both"/>
      </w:pPr>
      <w:r w:rsidRPr="002F1953">
        <w:t xml:space="preserve">preukázaním, že kľúčové informácie o rizikách sa pravidelne oznamujú funkcii centrálneho riadenia rizík, aby sa umožnilo primerané centralizované ohodnotenie, meranie a kontrola rizík naprieč príslušnými subjektmi v skupine. </w:t>
      </w:r>
    </w:p>
    <w:p w14:paraId="162D0683" w14:textId="77777777" w:rsidR="00D734CB" w:rsidRPr="002F1953" w:rsidRDefault="00D734CB" w:rsidP="00D734CB">
      <w:pPr>
        <w:pStyle w:val="Default"/>
      </w:pPr>
    </w:p>
    <w:p w14:paraId="585F88C2" w14:textId="1F37D1B1" w:rsidR="00D734CB" w:rsidRPr="002F1953" w:rsidRDefault="00D734CB" w:rsidP="002F1953">
      <w:pPr>
        <w:pStyle w:val="Default"/>
        <w:numPr>
          <w:ilvl w:val="0"/>
          <w:numId w:val="2"/>
        </w:numPr>
        <w:jc w:val="both"/>
      </w:pPr>
      <w:r w:rsidRPr="002F1953">
        <w:t>Ak sa oznámenie zámeru uplatniť výnimku z ohlasovacej povinnosti podľa článku 9 ods. 1 EMIR</w:t>
      </w:r>
      <w:r w:rsidR="00E46AF3">
        <w:t xml:space="preserve"> v znení nariadenia 2019/834</w:t>
      </w:r>
      <w:r w:rsidRPr="002F1953">
        <w:t xml:space="preserve"> vzťahuje na transakcie medzi protistranami so sídlom v rôznych členských štátoch (uvedený príklad 2 nižšie) NBS predpokladá, že obe protistrany zašlú svojim príslušným orgánom (protistrana so sídlom v SR zasiela NBS a protistrana so sídlom v inom členskom štáte príslušnému orgánu v tomto členskom štáte) obdobné informácie na účely preukázania splnenia podmienok pre uplatnenie tejto výnimky. </w:t>
      </w:r>
    </w:p>
    <w:p w14:paraId="640E6B04" w14:textId="77777777" w:rsidR="00D734CB" w:rsidRPr="002F1953" w:rsidRDefault="00D734CB" w:rsidP="00D734CB">
      <w:pPr>
        <w:pStyle w:val="Default"/>
      </w:pPr>
    </w:p>
    <w:p w14:paraId="5AFDA20B" w14:textId="5856EAFA" w:rsidR="00EF5C80" w:rsidRPr="00EF5C80" w:rsidRDefault="00D734CB" w:rsidP="00EF5C8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EF5C80">
        <w:rPr>
          <w:rFonts w:ascii="Times New Roman" w:hAnsi="Times New Roman" w:cs="Times New Roman"/>
          <w:b/>
          <w:bCs/>
        </w:rPr>
        <w:t xml:space="preserve">Uplatňovanie výnimky z ohlasovacej povinnosti na transakcie v rámci skupiny </w:t>
      </w:r>
      <w:r w:rsidRPr="00F93C40">
        <w:rPr>
          <w:rFonts w:ascii="Times New Roman" w:hAnsi="Times New Roman" w:cs="Times New Roman"/>
        </w:rPr>
        <w:t>sa vzťahuje na transakcie medzi dvoma protistranami – protistranou „</w:t>
      </w:r>
      <w:r w:rsidR="001802A0" w:rsidRPr="00F93C40">
        <w:rPr>
          <w:rFonts w:ascii="Times New Roman" w:hAnsi="Times New Roman" w:cs="Times New Roman"/>
        </w:rPr>
        <w:t>oznamovat</w:t>
      </w:r>
      <w:r w:rsidRPr="00F93C40">
        <w:rPr>
          <w:rFonts w:ascii="Times New Roman" w:hAnsi="Times New Roman" w:cs="Times New Roman"/>
        </w:rPr>
        <w:t>eľom“ (</w:t>
      </w:r>
      <w:r w:rsidR="001802A0" w:rsidRPr="00F93C40">
        <w:rPr>
          <w:rFonts w:ascii="Times New Roman" w:hAnsi="Times New Roman" w:cs="Times New Roman"/>
        </w:rPr>
        <w:t>oznamujúca</w:t>
      </w:r>
      <w:r w:rsidRPr="00F93C40">
        <w:rPr>
          <w:rFonts w:ascii="Times New Roman" w:hAnsi="Times New Roman" w:cs="Times New Roman"/>
        </w:rPr>
        <w:t xml:space="preserve"> protistrana) a protistranou „v rámci skupiny“ (protistrana v rámci skupiny). </w:t>
      </w:r>
      <w:r w:rsidRPr="00EF5C80">
        <w:rPr>
          <w:rFonts w:ascii="Times New Roman" w:hAnsi="Times New Roman" w:cs="Times New Roman"/>
          <w:b/>
          <w:bCs/>
        </w:rPr>
        <w:t>Každý pár protistrán v rámci skupiny si musí uplatňovať túto výnimku</w:t>
      </w:r>
      <w:r w:rsidR="00E46AF3" w:rsidRPr="00EF5C80">
        <w:rPr>
          <w:rFonts w:ascii="Times New Roman" w:hAnsi="Times New Roman" w:cs="Times New Roman"/>
          <w:b/>
          <w:bCs/>
        </w:rPr>
        <w:t xml:space="preserve"> aj v súlade s ESMA </w:t>
      </w:r>
      <w:hyperlink r:id="rId8" w:history="1">
        <w:r w:rsidR="00E46AF3" w:rsidRPr="00EF5C80">
          <w:rPr>
            <w:rStyle w:val="Hyperlink"/>
            <w:rFonts w:ascii="Times New Roman" w:hAnsi="Times New Roman" w:cs="Times New Roman"/>
            <w:b/>
            <w:bCs/>
          </w:rPr>
          <w:t>Q&amp;A</w:t>
        </w:r>
      </w:hyperlink>
      <w:r w:rsidRPr="00EF5C80">
        <w:rPr>
          <w:rFonts w:ascii="Times New Roman" w:hAnsi="Times New Roman" w:cs="Times New Roman"/>
          <w:b/>
          <w:bCs/>
        </w:rPr>
        <w:t xml:space="preserve"> </w:t>
      </w:r>
      <w:r w:rsidR="00E46AF3" w:rsidRPr="00EF5C80">
        <w:rPr>
          <w:rFonts w:ascii="Times New Roman" w:hAnsi="Times New Roman" w:cs="Times New Roman"/>
          <w:b/>
          <w:bCs/>
        </w:rPr>
        <w:t>otázky č</w:t>
      </w:r>
      <w:r w:rsidR="00EF5C80">
        <w:rPr>
          <w:rFonts w:ascii="Times New Roman" w:hAnsi="Times New Roman" w:cs="Times New Roman"/>
          <w:b/>
          <w:bCs/>
        </w:rPr>
        <w:t>.</w:t>
      </w:r>
      <w:r w:rsidR="00E46AF3" w:rsidRPr="00EF5C80">
        <w:rPr>
          <w:rFonts w:ascii="Times New Roman" w:hAnsi="Times New Roman" w:cs="Times New Roman"/>
          <w:b/>
          <w:bCs/>
        </w:rPr>
        <w:t xml:space="preserve"> 51 v aktuálnom znení</w:t>
      </w:r>
      <w:r w:rsidR="00F93C40" w:rsidRPr="00EF5C80">
        <w:rPr>
          <w:rFonts w:ascii="Times New Roman" w:hAnsi="Times New Roman" w:cs="Times New Roman"/>
          <w:b/>
          <w:bCs/>
        </w:rPr>
        <w:t xml:space="preserve">. </w:t>
      </w:r>
    </w:p>
    <w:p w14:paraId="4F3E5796" w14:textId="77777777" w:rsidR="00EF5C80" w:rsidRPr="00EF5C80" w:rsidRDefault="00EF5C80" w:rsidP="00EF5C80">
      <w:pPr>
        <w:pStyle w:val="ListParagraph"/>
        <w:rPr>
          <w:b/>
          <w:bCs/>
        </w:rPr>
      </w:pPr>
    </w:p>
    <w:p w14:paraId="2E6A169F" w14:textId="39E9D783" w:rsidR="00D734CB" w:rsidRPr="00F52EB9" w:rsidRDefault="00D734CB" w:rsidP="00EF5C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E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Príklady uplatňovania výnimiek z ohlasovacej povinnosti na transakcie v rámci skupiny </w:t>
      </w:r>
    </w:p>
    <w:p w14:paraId="3CF744D8" w14:textId="77777777" w:rsidR="001802A0" w:rsidRPr="002F1953" w:rsidRDefault="001802A0" w:rsidP="00D734CB">
      <w:pPr>
        <w:pStyle w:val="Default"/>
      </w:pPr>
    </w:p>
    <w:p w14:paraId="7384B2AD" w14:textId="77777777" w:rsidR="001802A0" w:rsidRPr="002F1953" w:rsidRDefault="00D734CB" w:rsidP="002F1953">
      <w:pPr>
        <w:pStyle w:val="Default"/>
        <w:jc w:val="both"/>
      </w:pPr>
      <w:r w:rsidRPr="002F1953">
        <w:t xml:space="preserve">Protistrany derivátových kontraktov si môžu </w:t>
      </w:r>
      <w:r w:rsidRPr="002F1953">
        <w:rPr>
          <w:b/>
          <w:bCs/>
        </w:rPr>
        <w:t xml:space="preserve">uplatniť výnimku z ohlasovacej povinnosti pre transakcie v rámci skupiny </w:t>
      </w:r>
      <w:r w:rsidRPr="002F1953">
        <w:t xml:space="preserve">spôsobom podľa príkladov 1 až 3 uvedených nižšie. </w:t>
      </w:r>
    </w:p>
    <w:p w14:paraId="34AAA58C" w14:textId="77777777" w:rsidR="001802A0" w:rsidRPr="002F1953" w:rsidRDefault="001802A0" w:rsidP="002F1953">
      <w:pPr>
        <w:pStyle w:val="Default"/>
        <w:jc w:val="both"/>
        <w:rPr>
          <w:b/>
          <w:bCs/>
        </w:rPr>
      </w:pPr>
    </w:p>
    <w:p w14:paraId="15A59085" w14:textId="44C780F2" w:rsidR="00D734CB" w:rsidRPr="002F1953" w:rsidRDefault="00D734CB" w:rsidP="001802A0">
      <w:pPr>
        <w:pStyle w:val="Default"/>
      </w:pPr>
      <w:r w:rsidRPr="002F1953">
        <w:rPr>
          <w:b/>
          <w:bCs/>
          <w:u w:val="single"/>
        </w:rPr>
        <w:t>Príklad 1:</w:t>
      </w:r>
      <w:r w:rsidRPr="002F1953">
        <w:rPr>
          <w:b/>
          <w:bCs/>
        </w:rPr>
        <w:t xml:space="preserve"> Obe protistrany majú sídlo v Slovenskej republike. </w:t>
      </w:r>
    </w:p>
    <w:p w14:paraId="325C5028" w14:textId="77777777" w:rsidR="00D4270E" w:rsidRPr="002F1953" w:rsidRDefault="00D4270E" w:rsidP="00D734CB">
      <w:pPr>
        <w:pStyle w:val="Default"/>
      </w:pPr>
    </w:p>
    <w:p w14:paraId="0BA5ECDA" w14:textId="0CE378EC" w:rsidR="00D734CB" w:rsidRDefault="00D734CB" w:rsidP="002F1953">
      <w:pPr>
        <w:pStyle w:val="Default"/>
        <w:numPr>
          <w:ilvl w:val="1"/>
          <w:numId w:val="5"/>
        </w:numPr>
        <w:ind w:left="360"/>
        <w:jc w:val="both"/>
      </w:pPr>
      <w:r w:rsidRPr="002F1953">
        <w:rPr>
          <w:b/>
          <w:bCs/>
        </w:rPr>
        <w:t>Obe protistrany samostatne,</w:t>
      </w:r>
      <w:r w:rsidR="008A4ABD">
        <w:rPr>
          <w:b/>
          <w:bCs/>
        </w:rPr>
        <w:t xml:space="preserve"> jedna protistrana v mene druhej protistrany na základe splnomocnenia</w:t>
      </w:r>
      <w:r w:rsidRPr="002F1953">
        <w:rPr>
          <w:b/>
          <w:bCs/>
        </w:rPr>
        <w:t xml:space="preserve"> alebo </w:t>
      </w:r>
      <w:r w:rsidR="005977ED">
        <w:rPr>
          <w:b/>
          <w:bCs/>
        </w:rPr>
        <w:t xml:space="preserve">materský podnik </w:t>
      </w:r>
      <w:r w:rsidRPr="002F1953">
        <w:rPr>
          <w:b/>
          <w:bCs/>
        </w:rPr>
        <w:t xml:space="preserve"> v</w:t>
      </w:r>
      <w:r w:rsidR="005977ED">
        <w:rPr>
          <w:b/>
          <w:bCs/>
        </w:rPr>
        <w:t> </w:t>
      </w:r>
      <w:r w:rsidRPr="002F1953">
        <w:rPr>
          <w:b/>
          <w:bCs/>
        </w:rPr>
        <w:t>mene</w:t>
      </w:r>
      <w:r w:rsidR="005977ED">
        <w:rPr>
          <w:b/>
          <w:bCs/>
        </w:rPr>
        <w:t xml:space="preserve"> všetkých protistrán so sídlom v Slovenskej republike</w:t>
      </w:r>
      <w:r w:rsidR="00C127D4">
        <w:rPr>
          <w:b/>
          <w:bCs/>
        </w:rPr>
        <w:t xml:space="preserve"> formou jediného oznámenia</w:t>
      </w:r>
      <w:r w:rsidRPr="002F1953">
        <w:rPr>
          <w:b/>
          <w:bCs/>
        </w:rPr>
        <w:t xml:space="preserve">, môže písomne oznámiť </w:t>
      </w:r>
      <w:r w:rsidRPr="002F1953">
        <w:t xml:space="preserve">NBS, že chcú využiť výnimku z ohlasovacej povinnosti pre derivátové transakcie uzatvorené v rámci tej istej skupiny. </w:t>
      </w:r>
    </w:p>
    <w:p w14:paraId="33DF83EF" w14:textId="77777777" w:rsidR="008A4ABD" w:rsidRDefault="008A4ABD" w:rsidP="008A4ABD">
      <w:pPr>
        <w:pStyle w:val="Default"/>
        <w:jc w:val="both"/>
      </w:pPr>
    </w:p>
    <w:p w14:paraId="3EF5EF02" w14:textId="643BE3DE" w:rsidR="008A4ABD" w:rsidRPr="002F1953" w:rsidRDefault="008A4ABD" w:rsidP="002F1953">
      <w:pPr>
        <w:pStyle w:val="Default"/>
        <w:numPr>
          <w:ilvl w:val="1"/>
          <w:numId w:val="5"/>
        </w:numPr>
        <w:ind w:left="360"/>
        <w:jc w:val="both"/>
      </w:pPr>
      <w:r>
        <w:t>Pri oznamovaní svojho zámeru využiť výnimku z </w:t>
      </w:r>
      <w:r w:rsidR="007C3948">
        <w:t>o</w:t>
      </w:r>
      <w:r>
        <w:t>hlasovacej povinnosti v súlade s článkom 9 ods. 1 EMIR v znení nariadenia 2019/834 oznamujúca protistrana uvedie, že spĺňa všetky podmienky stanovené</w:t>
      </w:r>
      <w:r w:rsidR="00875D1B">
        <w:t xml:space="preserve"> v článku 9</w:t>
      </w:r>
      <w:r w:rsidR="00875D1B">
        <w:tab/>
        <w:t xml:space="preserve"> ods. 1 EMIR v znení nariadenia 2019/834.</w:t>
      </w:r>
    </w:p>
    <w:p w14:paraId="777C12F3" w14:textId="77777777" w:rsidR="00D734CB" w:rsidRPr="002F1953" w:rsidRDefault="00D734CB" w:rsidP="002F1953">
      <w:pPr>
        <w:pStyle w:val="Default"/>
        <w:jc w:val="both"/>
      </w:pPr>
    </w:p>
    <w:p w14:paraId="29F5DF42" w14:textId="77777777" w:rsidR="00D734CB" w:rsidRPr="002F1953" w:rsidRDefault="00D734CB" w:rsidP="002F1953">
      <w:pPr>
        <w:pStyle w:val="Default"/>
        <w:jc w:val="both"/>
      </w:pPr>
    </w:p>
    <w:p w14:paraId="5882BC05" w14:textId="09193C99" w:rsidR="00D734CB" w:rsidRDefault="00875D1B" w:rsidP="002F1953">
      <w:pPr>
        <w:pStyle w:val="Default"/>
        <w:numPr>
          <w:ilvl w:val="1"/>
          <w:numId w:val="5"/>
        </w:numPr>
        <w:ind w:left="360"/>
        <w:jc w:val="both"/>
      </w:pPr>
      <w:r>
        <w:t>Oznamujúca</w:t>
      </w:r>
      <w:r w:rsidR="00D734CB" w:rsidRPr="002F1953">
        <w:t xml:space="preserve"> protistrana </w:t>
      </w:r>
      <w:r>
        <w:t xml:space="preserve"> v súlade s ods. 1</w:t>
      </w:r>
      <w:r w:rsidR="00D734CB" w:rsidRPr="002F1953">
        <w:t xml:space="preserve"> preukazuje splnenie vyššie uvedených podmienok pre transakcie v rámci skupiny formou vyplnenia príslušných polí vo vzorovom formulári (príloha č. 1) podľa tohto usmernenia, prípadne doložením požadovaných informácii v prílohe k tomuto vzorovému formuláru. </w:t>
      </w:r>
    </w:p>
    <w:p w14:paraId="4CFF733B" w14:textId="77777777" w:rsidR="00875D1B" w:rsidRDefault="00875D1B" w:rsidP="00875D1B">
      <w:pPr>
        <w:pStyle w:val="ListParagraph"/>
      </w:pPr>
    </w:p>
    <w:p w14:paraId="28367A52" w14:textId="1C8549D7" w:rsidR="00875D1B" w:rsidRPr="002F1953" w:rsidRDefault="00875D1B" w:rsidP="002F1953">
      <w:pPr>
        <w:pStyle w:val="Default"/>
        <w:numPr>
          <w:ilvl w:val="1"/>
          <w:numId w:val="5"/>
        </w:numPr>
        <w:ind w:left="360"/>
        <w:jc w:val="both"/>
      </w:pPr>
      <w:r>
        <w:t xml:space="preserve">NBS môže požiadať o dodatočné informácie a/alebo dokumenty na posúdenie splnenia podmienok uvedených v treťom </w:t>
      </w:r>
      <w:proofErr w:type="spellStart"/>
      <w:r>
        <w:t>pododseku</w:t>
      </w:r>
      <w:proofErr w:type="spellEnd"/>
      <w:r>
        <w:t xml:space="preserve"> článku 9 ods. 1 EMIR</w:t>
      </w:r>
      <w:r w:rsidR="00C127D4">
        <w:t xml:space="preserve"> v znení nariadenia 2019/834.</w:t>
      </w:r>
    </w:p>
    <w:p w14:paraId="2A73EBE0" w14:textId="77777777" w:rsidR="00D734CB" w:rsidRPr="002F1953" w:rsidRDefault="00D734CB" w:rsidP="002F1953">
      <w:pPr>
        <w:pStyle w:val="Default"/>
        <w:jc w:val="both"/>
      </w:pPr>
    </w:p>
    <w:p w14:paraId="3C2CC4F8" w14:textId="7216A014" w:rsidR="00D734CB" w:rsidRDefault="00D734CB" w:rsidP="002F1953">
      <w:pPr>
        <w:pStyle w:val="Default"/>
        <w:numPr>
          <w:ilvl w:val="1"/>
          <w:numId w:val="5"/>
        </w:numPr>
        <w:ind w:left="360"/>
        <w:jc w:val="both"/>
        <w:rPr>
          <w:rStyle w:val="y2iqfc"/>
          <w:color w:val="000000" w:themeColor="text1"/>
        </w:rPr>
      </w:pPr>
      <w:r w:rsidRPr="002F1953">
        <w:t xml:space="preserve">Výnimka je platná, </w:t>
      </w:r>
      <w:r w:rsidR="00C127D4">
        <w:t xml:space="preserve">keď </w:t>
      </w:r>
      <w:r w:rsidRPr="002F1953">
        <w:t>NBS</w:t>
      </w:r>
      <w:r w:rsidR="00C127D4">
        <w:t xml:space="preserve"> potvrdí protistrane (protistranám), že podmienky na uplatnenie výnimky sú splnené alebo ak NBS neoznámi žiadne rozhodnutie, výnimka bude platná po uplynutí </w:t>
      </w:r>
      <w:r w:rsidRPr="002F1953">
        <w:t>lehot</w:t>
      </w:r>
      <w:r w:rsidR="00C127D4">
        <w:t>y</w:t>
      </w:r>
      <w:r w:rsidRPr="002F1953">
        <w:t xml:space="preserve"> </w:t>
      </w:r>
      <w:r w:rsidR="00EE60A9">
        <w:t>troch</w:t>
      </w:r>
      <w:r w:rsidRPr="002F1953">
        <w:t xml:space="preserve"> mesiacov</w:t>
      </w:r>
      <w:r w:rsidR="00BD1CDB">
        <w:t>, ak NBS</w:t>
      </w:r>
      <w:r w:rsidRPr="002F1953">
        <w:t xml:space="preserve"> nevyjadr</w:t>
      </w:r>
      <w:r w:rsidR="00BD1CDB">
        <w:t>ila</w:t>
      </w:r>
      <w:r w:rsidRPr="002F1953">
        <w:t xml:space="preserve"> nesúhlas so splnením podmienok na uplatnenie tejto výnimky. </w:t>
      </w:r>
      <w:r w:rsidR="00BD1CDB">
        <w:t xml:space="preserve">Ak sa zmenia podmienky uvedené v treťom </w:t>
      </w:r>
      <w:proofErr w:type="spellStart"/>
      <w:r w:rsidR="00BD1CDB">
        <w:t>pododseku</w:t>
      </w:r>
      <w:proofErr w:type="spellEnd"/>
      <w:r w:rsidR="00BD1CDB">
        <w:t xml:space="preserve"> článku 9 ods. 1 EMIR v znení nariadenia 2019/834, protistrany musia informovať NBS</w:t>
      </w:r>
      <w:r w:rsidR="00BD1CDB" w:rsidRPr="00BD1CDB">
        <w:rPr>
          <w:color w:val="000000" w:themeColor="text1"/>
        </w:rPr>
        <w:t xml:space="preserve">. </w:t>
      </w:r>
      <w:r w:rsidR="00BD1CDB" w:rsidRPr="00BD1CDB">
        <w:rPr>
          <w:rStyle w:val="y2iqfc"/>
          <w:color w:val="000000" w:themeColor="text1"/>
        </w:rPr>
        <w:t>Bez toho, aby bola dotknutá existujúca výnimka, N</w:t>
      </w:r>
      <w:r w:rsidR="00BD1CDB">
        <w:rPr>
          <w:rStyle w:val="y2iqfc"/>
          <w:color w:val="000000" w:themeColor="text1"/>
        </w:rPr>
        <w:t>BS</w:t>
      </w:r>
      <w:r w:rsidR="00BD1CDB" w:rsidRPr="00BD1CDB">
        <w:rPr>
          <w:rStyle w:val="y2iqfc"/>
          <w:color w:val="000000" w:themeColor="text1"/>
        </w:rPr>
        <w:t xml:space="preserve"> môže namietať proti použitiu výnimky z dôvodu zmeny podmienok. Od tohto okamihu nebude výnimka platná</w:t>
      </w:r>
      <w:r w:rsidR="00BD1CDB">
        <w:rPr>
          <w:rStyle w:val="y2iqfc"/>
          <w:color w:val="000000" w:themeColor="text1"/>
        </w:rPr>
        <w:t>.</w:t>
      </w:r>
    </w:p>
    <w:p w14:paraId="6795E558" w14:textId="77777777" w:rsidR="00BD1CDB" w:rsidRDefault="00BD1CDB" w:rsidP="00BD1CDB">
      <w:pPr>
        <w:pStyle w:val="ListParagraph"/>
        <w:rPr>
          <w:color w:val="000000" w:themeColor="text1"/>
        </w:rPr>
      </w:pPr>
    </w:p>
    <w:p w14:paraId="7D19F340" w14:textId="1B832AC9" w:rsidR="00BD1CDB" w:rsidRPr="00BD1CDB" w:rsidRDefault="00BD1CDB" w:rsidP="002F1953">
      <w:pPr>
        <w:pStyle w:val="Default"/>
        <w:numPr>
          <w:ilvl w:val="1"/>
          <w:numId w:val="5"/>
        </w:num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Ak protistrany oznámia </w:t>
      </w:r>
      <w:r w:rsidR="0041301A">
        <w:rPr>
          <w:color w:val="000000" w:themeColor="text1"/>
        </w:rPr>
        <w:t xml:space="preserve">zámer využiť výnimku </w:t>
      </w:r>
      <w:r>
        <w:rPr>
          <w:color w:val="000000" w:themeColor="text1"/>
        </w:rPr>
        <w:t>NBS v rôznych dátumoch, a NBS nepotvrdí  protistranám splnenie podmienok</w:t>
      </w:r>
      <w:r w:rsidR="006102F4">
        <w:rPr>
          <w:color w:val="000000" w:themeColor="text1"/>
        </w:rPr>
        <w:t>, musia protistrany počkať na koniec neskoršieho z dvoch trojmesačných období, kým sa budú môcť spoliehať na výnimku.</w:t>
      </w:r>
    </w:p>
    <w:p w14:paraId="1C8D3AB5" w14:textId="120D1C5E" w:rsidR="00D734CB" w:rsidRDefault="00D734CB" w:rsidP="00D734CB">
      <w:pPr>
        <w:pStyle w:val="Default"/>
      </w:pPr>
    </w:p>
    <w:p w14:paraId="1C05F03B" w14:textId="77777777" w:rsidR="0041301A" w:rsidRPr="002F1953" w:rsidRDefault="0041301A" w:rsidP="00D734CB">
      <w:pPr>
        <w:pStyle w:val="Default"/>
      </w:pPr>
    </w:p>
    <w:p w14:paraId="4A652299" w14:textId="38B8DEF9" w:rsidR="000F00F5" w:rsidRPr="002F1953" w:rsidRDefault="00D734CB" w:rsidP="000F00F5">
      <w:pPr>
        <w:pStyle w:val="Default"/>
        <w:rPr>
          <w:b/>
          <w:bCs/>
        </w:rPr>
      </w:pPr>
      <w:r w:rsidRPr="002F1953">
        <w:rPr>
          <w:b/>
          <w:bCs/>
          <w:u w:val="single"/>
        </w:rPr>
        <w:t>Príklad 2:</w:t>
      </w:r>
      <w:r w:rsidRPr="002F1953">
        <w:rPr>
          <w:b/>
          <w:bCs/>
        </w:rPr>
        <w:t xml:space="preserve"> Jedna protistrana má sídlo v Slovenskej republike a druhá protistrana má sídlo v inom členskom štáte EÚ.</w:t>
      </w:r>
    </w:p>
    <w:p w14:paraId="3A10A7EC" w14:textId="77777777" w:rsidR="000F00F5" w:rsidRPr="002F1953" w:rsidRDefault="000F00F5" w:rsidP="000F00F5">
      <w:pPr>
        <w:pStyle w:val="Default"/>
        <w:rPr>
          <w:b/>
          <w:bCs/>
        </w:rPr>
      </w:pPr>
    </w:p>
    <w:p w14:paraId="1D9C852F" w14:textId="7A18E740" w:rsidR="000F00F5" w:rsidRDefault="00D734CB" w:rsidP="000F00F5">
      <w:pPr>
        <w:pStyle w:val="Default"/>
        <w:numPr>
          <w:ilvl w:val="0"/>
          <w:numId w:val="12"/>
        </w:numPr>
        <w:ind w:left="360"/>
        <w:jc w:val="both"/>
      </w:pPr>
      <w:r w:rsidRPr="002F1953">
        <w:rPr>
          <w:b/>
          <w:bCs/>
        </w:rPr>
        <w:t>Každá protistrana samostatne oznamuje svojmu príslušnému orgánu</w:t>
      </w:r>
      <w:r w:rsidRPr="002F1953">
        <w:t xml:space="preserve">, že chce využiť výnimku z ohlasovacej povinnosti na derivátové transakcie v rámci skupiny, ktoré spolu uzatvoria, t. j. protistrana so sídlom v Slovenskej republike uskutoční samostatné </w:t>
      </w:r>
      <w:r w:rsidRPr="002F1953">
        <w:lastRenderedPageBreak/>
        <w:t>oznámenie NBS a protistrana so sídlom v inom členskom štáte uskutoční samostatné oznámenie príslušnému orgánu v tomto členskom štáte.</w:t>
      </w:r>
    </w:p>
    <w:p w14:paraId="64DB2D29" w14:textId="77777777" w:rsidR="006102F4" w:rsidRDefault="006102F4" w:rsidP="006102F4">
      <w:pPr>
        <w:pStyle w:val="Default"/>
        <w:jc w:val="both"/>
      </w:pPr>
    </w:p>
    <w:p w14:paraId="1F60A5A3" w14:textId="68A1993B" w:rsidR="006102F4" w:rsidRPr="002F1953" w:rsidRDefault="00B4521E" w:rsidP="000F00F5">
      <w:pPr>
        <w:pStyle w:val="Default"/>
        <w:numPr>
          <w:ilvl w:val="0"/>
          <w:numId w:val="12"/>
        </w:numPr>
        <w:ind w:left="360"/>
        <w:jc w:val="both"/>
      </w:pPr>
      <w:r>
        <w:t>Pri oznamovaní  svojho zámeru využiť výnimku z </w:t>
      </w:r>
      <w:r w:rsidR="007C3948">
        <w:t>o</w:t>
      </w:r>
      <w:r>
        <w:t>hlasovacej povinnosti v súlade s článkom 9 ods. 1 EMIR v znení nariadenia 2019/834 oznamujúca protistrana so sídlom v Slovenskej republike uvedie, že spĺňa všetky podmienky stanovené v článku 9</w:t>
      </w:r>
      <w:r>
        <w:tab/>
        <w:t xml:space="preserve"> ods. 1 EMIR v znení nariadenia 2019/834</w:t>
      </w:r>
      <w:r w:rsidR="00872213">
        <w:t>.</w:t>
      </w:r>
    </w:p>
    <w:p w14:paraId="56755F5D" w14:textId="77777777" w:rsidR="000F00F5" w:rsidRPr="002F1953" w:rsidRDefault="000F00F5" w:rsidP="000F00F5">
      <w:pPr>
        <w:pStyle w:val="Default"/>
        <w:jc w:val="both"/>
      </w:pPr>
    </w:p>
    <w:p w14:paraId="756E359A" w14:textId="6A3BE3D8" w:rsidR="000F00F5" w:rsidRDefault="00D734CB" w:rsidP="000F00F5">
      <w:pPr>
        <w:pStyle w:val="Default"/>
        <w:numPr>
          <w:ilvl w:val="0"/>
          <w:numId w:val="12"/>
        </w:numPr>
        <w:ind w:left="360"/>
        <w:jc w:val="both"/>
      </w:pPr>
      <w:r w:rsidRPr="002F1953">
        <w:t xml:space="preserve"> </w:t>
      </w:r>
      <w:r w:rsidR="00B4521E">
        <w:t>Oznamujúca</w:t>
      </w:r>
      <w:r w:rsidRPr="002F1953">
        <w:t xml:space="preserve"> protistrana so sídlom v SR preukazuje splnenie vyššie uvedených podmienok pre využitie výnimky z ohlasovacej povinnosti pre derivátové transakcie v rámci skupiny formou vyplnenia príslušných polí vo vzorovom formulári (príloha č. 1) podľa tohto usmernenia, prípadne doložením požadovaných informácii formou prílohy k vzorovému formuláru.</w:t>
      </w:r>
    </w:p>
    <w:p w14:paraId="2DDF7675" w14:textId="77777777" w:rsidR="00B4521E" w:rsidRDefault="00B4521E" w:rsidP="00B4521E">
      <w:pPr>
        <w:pStyle w:val="ListParagraph"/>
      </w:pPr>
    </w:p>
    <w:p w14:paraId="16A0B228" w14:textId="275D8D80" w:rsidR="00B4521E" w:rsidRPr="002F1953" w:rsidRDefault="00B4521E" w:rsidP="000F00F5">
      <w:pPr>
        <w:pStyle w:val="Default"/>
        <w:numPr>
          <w:ilvl w:val="0"/>
          <w:numId w:val="12"/>
        </w:numPr>
        <w:ind w:left="360"/>
        <w:jc w:val="both"/>
      </w:pPr>
      <w:r>
        <w:t xml:space="preserve">NBS môže požiadať o dodatočné informácie a/alebo dokumenty na posúdenie splnenia podmienok uvedených v treťom </w:t>
      </w:r>
      <w:proofErr w:type="spellStart"/>
      <w:r>
        <w:t>pododseku</w:t>
      </w:r>
      <w:proofErr w:type="spellEnd"/>
      <w:r>
        <w:t xml:space="preserve"> článku 9 ods. 1 EMIR v znení nariadenia 2019/834.</w:t>
      </w:r>
    </w:p>
    <w:p w14:paraId="200B57C6" w14:textId="77777777" w:rsidR="000F00F5" w:rsidRPr="002F1953" w:rsidRDefault="000F00F5" w:rsidP="000F00F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93DBAE" w14:textId="6A75F88F" w:rsidR="000F00F5" w:rsidRPr="002F1953" w:rsidRDefault="00D734CB" w:rsidP="000F00F5">
      <w:pPr>
        <w:pStyle w:val="Default"/>
        <w:numPr>
          <w:ilvl w:val="0"/>
          <w:numId w:val="12"/>
        </w:numPr>
        <w:ind w:left="360"/>
        <w:jc w:val="both"/>
      </w:pPr>
      <w:r w:rsidRPr="002F1953">
        <w:t>Protistrana v rámci skupiny so sídlom v inom členskom štáte</w:t>
      </w:r>
      <w:r w:rsidR="007048D7">
        <w:t xml:space="preserve"> predkladá oznámenie a</w:t>
      </w:r>
      <w:r w:rsidRPr="002F1953">
        <w:t xml:space="preserve"> preukazuje splnenie podmienok pre využitie výnimky z</w:t>
      </w:r>
      <w:r w:rsidR="00B4521E">
        <w:t xml:space="preserve"> ohlasovacej</w:t>
      </w:r>
      <w:r w:rsidRPr="002F1953">
        <w:t xml:space="preserve"> povinnosti pre transakcie v rámci skupiny podľa postupov stanovených príslušným orgánom v tomto členskom štáte.</w:t>
      </w:r>
    </w:p>
    <w:p w14:paraId="0CF67041" w14:textId="77777777" w:rsidR="00D4270E" w:rsidRPr="002F1953" w:rsidRDefault="00D4270E" w:rsidP="000F00F5">
      <w:pPr>
        <w:pStyle w:val="Default"/>
        <w:jc w:val="both"/>
      </w:pPr>
    </w:p>
    <w:p w14:paraId="41B0AE52" w14:textId="69081101" w:rsidR="00D734CB" w:rsidRPr="002F1953" w:rsidRDefault="00D734CB" w:rsidP="000F00F5">
      <w:pPr>
        <w:pStyle w:val="Default"/>
        <w:numPr>
          <w:ilvl w:val="0"/>
          <w:numId w:val="12"/>
        </w:numPr>
        <w:ind w:left="360"/>
        <w:jc w:val="both"/>
      </w:pPr>
      <w:r w:rsidRPr="002F1953">
        <w:t xml:space="preserve">NBS a príslušný orgán v inom členskom štáte </w:t>
      </w:r>
      <w:r w:rsidR="00B4521E">
        <w:t>samostatne posudzujú</w:t>
      </w:r>
      <w:r w:rsidR="00EE60A9">
        <w:t>,</w:t>
      </w:r>
      <w:r w:rsidR="00B4521E">
        <w:t xml:space="preserve"> či sú splnené podmienky stanovené v článku 9 ods. 1 EMIR. Ak sa NBS domnieva, že nie sú splnené</w:t>
      </w:r>
      <w:r w:rsidR="00A92181">
        <w:t xml:space="preserve"> podmienky na uplatnenie výnimky, oznámi to protistrane so sídlom v Slovenskej republike </w:t>
      </w:r>
      <w:r w:rsidR="00EE60A9">
        <w:t xml:space="preserve">a </w:t>
      </w:r>
      <w:r w:rsidR="00A92181">
        <w:t>aj príslušnému orgánu protistrany</w:t>
      </w:r>
      <w:r w:rsidR="00385962">
        <w:t xml:space="preserve"> so sídlom</w:t>
      </w:r>
      <w:r w:rsidR="00A92181">
        <w:t xml:space="preserve"> v inom členskom štáte do troch mesiacov od prijatia oznámenia a uvedie dôvody.</w:t>
      </w:r>
      <w:r w:rsidRPr="002F1953">
        <w:t xml:space="preserve"> </w:t>
      </w:r>
      <w:r w:rsidR="00385962">
        <w:t>Rovnakým spôsobom by mal postupovať príslušný orgán v inom členskom štáte vo vzťahu k protistrane so sídlom v inom členskom štáte</w:t>
      </w:r>
      <w:r w:rsidR="00EE60A9">
        <w:t>,</w:t>
      </w:r>
      <w:r w:rsidR="00385962">
        <w:t xml:space="preserve"> ak sa domnieva, že nie sú splnené podmienky na uplatnenie výnimky.</w:t>
      </w:r>
    </w:p>
    <w:p w14:paraId="300E2CF2" w14:textId="77777777" w:rsidR="000F00F5" w:rsidRPr="002F1953" w:rsidRDefault="000F00F5" w:rsidP="000F00F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6BA05C" w14:textId="7BE8C4EF" w:rsidR="00D734CB" w:rsidRDefault="00D734CB" w:rsidP="00D734CB">
      <w:pPr>
        <w:pStyle w:val="Default"/>
        <w:numPr>
          <w:ilvl w:val="0"/>
          <w:numId w:val="12"/>
        </w:numPr>
        <w:ind w:left="360"/>
        <w:jc w:val="both"/>
      </w:pPr>
      <w:r w:rsidRPr="002F1953">
        <w:t xml:space="preserve">Výnimka </w:t>
      </w:r>
      <w:r w:rsidR="00563314" w:rsidRPr="002F1953">
        <w:t xml:space="preserve">je platná, </w:t>
      </w:r>
      <w:r w:rsidR="00563314">
        <w:t xml:space="preserve">keď </w:t>
      </w:r>
      <w:r w:rsidR="00563314" w:rsidRPr="002F1953">
        <w:t>NBS</w:t>
      </w:r>
      <w:r w:rsidR="00563314">
        <w:t xml:space="preserve"> aj príslušný orgán v inom členskom štáte potvrdí  príslušnej protistrane (protistranám), že podmienky na uplatnenie výnimky sú splnené alebo ak NBS alebo príslušný orgán v inom členskom štáte neoznámi žiadne rozhodnutie, výnimka bude platná po uplynutí </w:t>
      </w:r>
      <w:r w:rsidR="00563314" w:rsidRPr="002F1953">
        <w:t>lehot</w:t>
      </w:r>
      <w:r w:rsidR="00563314">
        <w:t>y</w:t>
      </w:r>
      <w:r w:rsidR="00563314" w:rsidRPr="002F1953">
        <w:t xml:space="preserve"> </w:t>
      </w:r>
      <w:r w:rsidR="00EA18BB">
        <w:t>troch</w:t>
      </w:r>
      <w:r w:rsidR="00EA18BB" w:rsidRPr="002F1953">
        <w:t xml:space="preserve"> </w:t>
      </w:r>
      <w:r w:rsidR="00563314" w:rsidRPr="002F1953">
        <w:t>mesiacov</w:t>
      </w:r>
      <w:r w:rsidR="00563314">
        <w:t>, ak NBS alebo príslušný orgán v inom členskom štáte</w:t>
      </w:r>
      <w:r w:rsidR="00563314" w:rsidRPr="002F1953">
        <w:t xml:space="preserve"> nevyjadr</w:t>
      </w:r>
      <w:r w:rsidR="00563314">
        <w:t>ili</w:t>
      </w:r>
      <w:r w:rsidR="00563314" w:rsidRPr="002F1953">
        <w:t xml:space="preserve"> nesúhlas so splnením podmienok na uplatnenie tejto výnimky. </w:t>
      </w:r>
      <w:r w:rsidR="00563314">
        <w:t xml:space="preserve">Ak sa zmenia podmienky uvedené v treťom </w:t>
      </w:r>
      <w:proofErr w:type="spellStart"/>
      <w:r w:rsidR="00563314">
        <w:t>pododseku</w:t>
      </w:r>
      <w:proofErr w:type="spellEnd"/>
      <w:r w:rsidR="00563314">
        <w:t xml:space="preserve"> článku 9 ods. 1 EMIR v znení nariadenia 2019/834, </w:t>
      </w:r>
      <w:r w:rsidR="007048D7">
        <w:t xml:space="preserve">príslušné </w:t>
      </w:r>
      <w:r w:rsidR="00563314">
        <w:t>protistrany musia informovať svoj príslušný orgán</w:t>
      </w:r>
      <w:r w:rsidR="00563314" w:rsidRPr="00194A0F">
        <w:rPr>
          <w:color w:val="000000" w:themeColor="text1"/>
        </w:rPr>
        <w:t xml:space="preserve">. </w:t>
      </w:r>
      <w:r w:rsidR="00563314" w:rsidRPr="00194A0F">
        <w:rPr>
          <w:rStyle w:val="y2iqfc"/>
          <w:color w:val="000000" w:themeColor="text1"/>
        </w:rPr>
        <w:t xml:space="preserve">Bez toho, aby bola dotknutá existujúca výnimka, NBS alebo príslušný orgán v inom členskom štáte môže namietať proti použitiu výnimky z dôvodu zmeny podmienok. Od tohto okamihu nebude výnimka </w:t>
      </w:r>
      <w:r w:rsidRPr="002F1953">
        <w:t>z ohlasovacej povinnosti pre transakcie v rámci skupiny platná</w:t>
      </w:r>
      <w:r w:rsidR="00194A0F">
        <w:t>.</w:t>
      </w:r>
    </w:p>
    <w:p w14:paraId="69F14C9D" w14:textId="77777777" w:rsidR="00194A0F" w:rsidRDefault="00194A0F" w:rsidP="00194A0F">
      <w:pPr>
        <w:pStyle w:val="ListParagraph"/>
      </w:pPr>
    </w:p>
    <w:p w14:paraId="24F1C3CD" w14:textId="4F6CA0A5" w:rsidR="00194A0F" w:rsidRPr="002F1953" w:rsidRDefault="00194A0F" w:rsidP="00D734CB">
      <w:pPr>
        <w:pStyle w:val="Default"/>
        <w:numPr>
          <w:ilvl w:val="0"/>
          <w:numId w:val="12"/>
        </w:numPr>
        <w:ind w:left="360"/>
        <w:jc w:val="both"/>
      </w:pPr>
      <w:r>
        <w:t xml:space="preserve">Ak príslušné protistrany </w:t>
      </w:r>
      <w:r>
        <w:rPr>
          <w:color w:val="000000" w:themeColor="text1"/>
        </w:rPr>
        <w:t>oznámia</w:t>
      </w:r>
      <w:r w:rsidR="007048D7">
        <w:rPr>
          <w:color w:val="000000" w:themeColor="text1"/>
        </w:rPr>
        <w:t xml:space="preserve"> zámer využiť výnimku</w:t>
      </w:r>
      <w:r>
        <w:rPr>
          <w:color w:val="000000" w:themeColor="text1"/>
        </w:rPr>
        <w:t xml:space="preserve"> NBS a príslušnému orgánu v inom členskom štáte v rôznych dátumoch, a NBS a</w:t>
      </w:r>
      <w:r w:rsidR="007048D7">
        <w:rPr>
          <w:color w:val="000000" w:themeColor="text1"/>
        </w:rPr>
        <w:t>n</w:t>
      </w:r>
      <w:r>
        <w:rPr>
          <w:color w:val="000000" w:themeColor="text1"/>
        </w:rPr>
        <w:t>i príslušný orgán v inom členskom štáte nepotvrdia  príslušným protistranám splnenie podmienok, musia protistrany počkať na koniec neskoršieho z dvoch trojmesačných období, kým sa budú môcť spoliehať na výnimku.</w:t>
      </w:r>
    </w:p>
    <w:p w14:paraId="6677E08F" w14:textId="77777777" w:rsidR="00194A0F" w:rsidRDefault="00194A0F" w:rsidP="00D734CB">
      <w:pPr>
        <w:pStyle w:val="Default"/>
        <w:rPr>
          <w:b/>
          <w:bCs/>
        </w:rPr>
      </w:pPr>
    </w:p>
    <w:p w14:paraId="23CED154" w14:textId="1FEECC81" w:rsidR="000F00F5" w:rsidRPr="002F1953" w:rsidRDefault="00D734CB" w:rsidP="00D734CB">
      <w:pPr>
        <w:pStyle w:val="Default"/>
        <w:rPr>
          <w:b/>
          <w:bCs/>
        </w:rPr>
      </w:pPr>
      <w:r w:rsidRPr="00D135BD">
        <w:rPr>
          <w:b/>
          <w:bCs/>
          <w:u w:val="single"/>
        </w:rPr>
        <w:lastRenderedPageBreak/>
        <w:t>Príklad 3:</w:t>
      </w:r>
      <w:r w:rsidRPr="002F1953">
        <w:rPr>
          <w:b/>
          <w:bCs/>
        </w:rPr>
        <w:t xml:space="preserve"> Jedna protistrana má sídlo v Slovenskej republike a druhá protistrana má sídlo v tretej krajine.</w:t>
      </w:r>
    </w:p>
    <w:p w14:paraId="74F39BFF" w14:textId="174A98A6" w:rsidR="00D734CB" w:rsidRPr="002F1953" w:rsidRDefault="00D734CB" w:rsidP="00D734CB">
      <w:pPr>
        <w:pStyle w:val="Default"/>
      </w:pPr>
      <w:r w:rsidRPr="002F1953">
        <w:rPr>
          <w:b/>
          <w:bCs/>
        </w:rPr>
        <w:t xml:space="preserve"> </w:t>
      </w:r>
    </w:p>
    <w:p w14:paraId="22921C55" w14:textId="301A91E4" w:rsidR="007B35F7" w:rsidRPr="007B35F7" w:rsidRDefault="007B35F7" w:rsidP="002F1953">
      <w:pPr>
        <w:pStyle w:val="Default"/>
        <w:numPr>
          <w:ilvl w:val="1"/>
          <w:numId w:val="4"/>
        </w:numPr>
        <w:ind w:left="360"/>
        <w:jc w:val="both"/>
        <w:rPr>
          <w:rStyle w:val="y2iqfc"/>
        </w:rPr>
      </w:pPr>
      <w:r w:rsidRPr="007B35F7">
        <w:t>V tomto prípade je potrebné najskôr</w:t>
      </w:r>
      <w:r>
        <w:t xml:space="preserve"> identifikovať či materský podnik má sídlo v EÚ alebo v tretej krajine</w:t>
      </w:r>
      <w:r w:rsidR="00D734CB" w:rsidRPr="007B35F7">
        <w:t>.</w:t>
      </w:r>
      <w:r>
        <w:t xml:space="preserve"> </w:t>
      </w:r>
      <w:r w:rsidRPr="007B35F7">
        <w:rPr>
          <w:rStyle w:val="y2iqfc"/>
          <w:color w:val="000000" w:themeColor="text1"/>
        </w:rPr>
        <w:t xml:space="preserve">Výnimka uvedená v článku 9 ods. 1 nariadenia EMIR sa </w:t>
      </w:r>
      <w:r w:rsidRPr="007B35F7">
        <w:rPr>
          <w:rStyle w:val="y2iqfc"/>
          <w:b/>
          <w:bCs/>
          <w:color w:val="000000" w:themeColor="text1"/>
        </w:rPr>
        <w:t xml:space="preserve">nevzťahuje na transakcie v rámci skupiny, v prípade ktorých má materský podnik </w:t>
      </w:r>
      <w:r>
        <w:rPr>
          <w:rStyle w:val="y2iqfc"/>
          <w:b/>
          <w:bCs/>
          <w:color w:val="000000" w:themeColor="text1"/>
        </w:rPr>
        <w:t>sídlo</w:t>
      </w:r>
      <w:r w:rsidRPr="007B35F7">
        <w:rPr>
          <w:rStyle w:val="y2iqfc"/>
          <w:b/>
          <w:bCs/>
          <w:color w:val="000000" w:themeColor="text1"/>
        </w:rPr>
        <w:t xml:space="preserve"> v tretej krajine</w:t>
      </w:r>
      <w:r w:rsidRPr="007B35F7">
        <w:rPr>
          <w:rStyle w:val="y2iqfc"/>
          <w:color w:val="000000" w:themeColor="text1"/>
        </w:rPr>
        <w:t>, a to ani v prípade, ak k transakcii dôjde medzi dvoma protistranami, ktoré sú obe usadené v</w:t>
      </w:r>
      <w:r>
        <w:rPr>
          <w:rStyle w:val="y2iqfc"/>
          <w:color w:val="000000" w:themeColor="text1"/>
        </w:rPr>
        <w:t> </w:t>
      </w:r>
      <w:r w:rsidRPr="007B35F7">
        <w:rPr>
          <w:rStyle w:val="y2iqfc"/>
          <w:color w:val="000000" w:themeColor="text1"/>
        </w:rPr>
        <w:t>EÚ</w:t>
      </w:r>
      <w:r>
        <w:rPr>
          <w:rStyle w:val="y2iqfc"/>
          <w:color w:val="000000" w:themeColor="text1"/>
        </w:rPr>
        <w:t xml:space="preserve"> (viď ESMA Q&amp;A otázka číslo 51 písm. m))</w:t>
      </w:r>
      <w:r w:rsidRPr="007B35F7">
        <w:rPr>
          <w:rStyle w:val="y2iqfc"/>
          <w:color w:val="000000" w:themeColor="text1"/>
        </w:rPr>
        <w:t>.</w:t>
      </w:r>
    </w:p>
    <w:p w14:paraId="2621C9C5" w14:textId="77777777" w:rsidR="007B35F7" w:rsidRPr="007B35F7" w:rsidRDefault="007B35F7" w:rsidP="007B35F7">
      <w:pPr>
        <w:pStyle w:val="Default"/>
        <w:jc w:val="both"/>
        <w:rPr>
          <w:rStyle w:val="y2iqfc"/>
        </w:rPr>
      </w:pPr>
    </w:p>
    <w:p w14:paraId="40B476C7" w14:textId="16FB49AD" w:rsidR="00D734CB" w:rsidRPr="00CF7365" w:rsidRDefault="007B35F7" w:rsidP="002F1953">
      <w:pPr>
        <w:pStyle w:val="Default"/>
        <w:numPr>
          <w:ilvl w:val="1"/>
          <w:numId w:val="4"/>
        </w:numPr>
        <w:ind w:left="360"/>
        <w:jc w:val="both"/>
        <w:rPr>
          <w:color w:val="000000" w:themeColor="text1"/>
        </w:rPr>
      </w:pPr>
      <w:r w:rsidRPr="00CF7365">
        <w:rPr>
          <w:color w:val="000000" w:themeColor="text1"/>
        </w:rPr>
        <w:t>V</w:t>
      </w:r>
      <w:r w:rsidR="00CF7365" w:rsidRPr="00CF7365">
        <w:rPr>
          <w:color w:val="000000" w:themeColor="text1"/>
        </w:rPr>
        <w:t> </w:t>
      </w:r>
      <w:r w:rsidRPr="00CF7365">
        <w:rPr>
          <w:color w:val="000000" w:themeColor="text1"/>
        </w:rPr>
        <w:t>prípade</w:t>
      </w:r>
      <w:r w:rsidR="00CF7365" w:rsidRPr="00CF7365">
        <w:rPr>
          <w:color w:val="000000" w:themeColor="text1"/>
        </w:rPr>
        <w:t>,</w:t>
      </w:r>
      <w:r w:rsidRPr="00CF7365">
        <w:rPr>
          <w:color w:val="000000" w:themeColor="text1"/>
        </w:rPr>
        <w:t xml:space="preserve"> ak materský podnik má sídlo</w:t>
      </w:r>
      <w:r w:rsidR="00CF7365" w:rsidRPr="00CF7365">
        <w:rPr>
          <w:color w:val="000000" w:themeColor="text1"/>
        </w:rPr>
        <w:t xml:space="preserve"> v EÚ, nie je potrebné</w:t>
      </w:r>
      <w:r w:rsidR="00CF7365" w:rsidRPr="00CF7365">
        <w:rPr>
          <w:rStyle w:val="y2iqfc"/>
          <w:color w:val="000000" w:themeColor="text1"/>
        </w:rPr>
        <w:t>, aby Komisia prijala vykonávací akt (rozhodnutie o rovnocennosti) podľa článku 13 ods. 2 nariadenia EMIR, aby sa výnimka z ohlasovania podľa článku 9 ods. 1 v znení nariadenia 2019/834 vzťahovala na derivát</w:t>
      </w:r>
      <w:r w:rsidR="00CF7365">
        <w:rPr>
          <w:rStyle w:val="y2iqfc"/>
          <w:color w:val="000000" w:themeColor="text1"/>
        </w:rPr>
        <w:t>ové transakcie</w:t>
      </w:r>
      <w:r w:rsidR="00CF7365" w:rsidRPr="00CF7365">
        <w:rPr>
          <w:rStyle w:val="y2iqfc"/>
          <w:color w:val="000000" w:themeColor="text1"/>
        </w:rPr>
        <w:t xml:space="preserve"> medzi protistranou usadenou v Únii a protistranou usadenou v tretej krajine, ktorá by bola </w:t>
      </w:r>
      <w:r w:rsidR="00305E40">
        <w:rPr>
          <w:rStyle w:val="y2iqfc"/>
          <w:color w:val="000000" w:themeColor="text1"/>
        </w:rPr>
        <w:t>nefinančnou protistranou</w:t>
      </w:r>
      <w:r w:rsidR="00CF7365" w:rsidRPr="00CF7365">
        <w:rPr>
          <w:rStyle w:val="y2iqfc"/>
          <w:color w:val="000000" w:themeColor="text1"/>
        </w:rPr>
        <w:t>, ak by bola usadená v Únii (viď ESMA Q&amp;A otázka číslo 51 písm. i))</w:t>
      </w:r>
      <w:r w:rsidR="008736EC">
        <w:rPr>
          <w:rStyle w:val="y2iqfc"/>
          <w:color w:val="000000" w:themeColor="text1"/>
        </w:rPr>
        <w:t>.</w:t>
      </w:r>
    </w:p>
    <w:p w14:paraId="06C96584" w14:textId="77777777" w:rsidR="007B35F7" w:rsidRDefault="007B35F7" w:rsidP="007B35F7">
      <w:pPr>
        <w:pStyle w:val="Default"/>
        <w:jc w:val="both"/>
      </w:pPr>
    </w:p>
    <w:p w14:paraId="55F00F48" w14:textId="3532F140" w:rsidR="007B35F7" w:rsidRPr="002F1953" w:rsidRDefault="00CF7365" w:rsidP="002F1953">
      <w:pPr>
        <w:pStyle w:val="Default"/>
        <w:numPr>
          <w:ilvl w:val="1"/>
          <w:numId w:val="4"/>
        </w:numPr>
        <w:ind w:left="360"/>
        <w:jc w:val="both"/>
      </w:pPr>
      <w:r>
        <w:rPr>
          <w:b/>
          <w:bCs/>
        </w:rPr>
        <w:t>Ak materský podnik p</w:t>
      </w:r>
      <w:r w:rsidR="007B35F7" w:rsidRPr="002F1953">
        <w:rPr>
          <w:b/>
          <w:bCs/>
        </w:rPr>
        <w:t>rotistran</w:t>
      </w:r>
      <w:r>
        <w:rPr>
          <w:b/>
          <w:bCs/>
        </w:rPr>
        <w:t>y</w:t>
      </w:r>
      <w:r w:rsidR="007B35F7" w:rsidRPr="002F1953">
        <w:rPr>
          <w:b/>
          <w:bCs/>
        </w:rPr>
        <w:t xml:space="preserve"> so sídlom v </w:t>
      </w:r>
      <w:r w:rsidR="00FF53A0">
        <w:rPr>
          <w:b/>
          <w:bCs/>
        </w:rPr>
        <w:t>SR</w:t>
      </w:r>
      <w:r w:rsidR="007B35F7" w:rsidRPr="002F1953">
        <w:rPr>
          <w:b/>
          <w:bCs/>
        </w:rPr>
        <w:t xml:space="preserve"> </w:t>
      </w:r>
      <w:r w:rsidR="00FF53A0">
        <w:rPr>
          <w:b/>
          <w:bCs/>
        </w:rPr>
        <w:t>má sídlo v EÚ,</w:t>
      </w:r>
      <w:r w:rsidR="007B35F7" w:rsidRPr="002F1953">
        <w:rPr>
          <w:b/>
          <w:bCs/>
        </w:rPr>
        <w:t xml:space="preserve"> </w:t>
      </w:r>
      <w:r w:rsidR="00FF53A0">
        <w:rPr>
          <w:b/>
          <w:bCs/>
        </w:rPr>
        <w:t>protistrana so sídlom v SR</w:t>
      </w:r>
      <w:r w:rsidR="007B35F7" w:rsidRPr="002F1953">
        <w:rPr>
          <w:b/>
          <w:bCs/>
        </w:rPr>
        <w:t xml:space="preserve"> písomne oznámi NBS zámer </w:t>
      </w:r>
      <w:r w:rsidR="007B35F7" w:rsidRPr="002F1953">
        <w:t>uplatniť výnimku z ohlasovacej povinnosti na derivátové transakcie v rámci skupiny týkajúce sa derivátových kontraktov, ktoré protistrana so sídlom v SR uzavrie s protistranou so sídlom v tretej krajine</w:t>
      </w:r>
      <w:r w:rsidR="00FF53A0">
        <w:t xml:space="preserve"> v súlade s postupom uvedeným v príklade 1</w:t>
      </w:r>
      <w:r w:rsidR="007B35F7">
        <w:t>.</w:t>
      </w:r>
    </w:p>
    <w:p w14:paraId="1ADEE798" w14:textId="77777777" w:rsidR="00D734CB" w:rsidRPr="002F1953" w:rsidRDefault="00D734CB" w:rsidP="00D734CB">
      <w:pPr>
        <w:pStyle w:val="Default"/>
      </w:pPr>
    </w:p>
    <w:p w14:paraId="74677101" w14:textId="353B6BF4" w:rsidR="00D734CB" w:rsidRPr="002F1953" w:rsidRDefault="00D734CB" w:rsidP="00D734CB">
      <w:pPr>
        <w:pStyle w:val="Default"/>
        <w:rPr>
          <w:b/>
          <w:bCs/>
        </w:rPr>
      </w:pPr>
      <w:r w:rsidRPr="002F1953">
        <w:rPr>
          <w:b/>
          <w:bCs/>
        </w:rPr>
        <w:t xml:space="preserve">Zasielanie oznámenia zámeru na uplatnenie výnimky z ohlasovacej povinnosti </w:t>
      </w:r>
    </w:p>
    <w:p w14:paraId="43A92F68" w14:textId="77777777" w:rsidR="000F00F5" w:rsidRPr="002F1953" w:rsidRDefault="000F00F5" w:rsidP="00D734CB">
      <w:pPr>
        <w:pStyle w:val="Default"/>
      </w:pPr>
    </w:p>
    <w:p w14:paraId="3F673BCF" w14:textId="4146288C" w:rsidR="00D734CB" w:rsidRPr="002F1953" w:rsidRDefault="00D734CB" w:rsidP="002F1953">
      <w:pPr>
        <w:pStyle w:val="Default"/>
        <w:numPr>
          <w:ilvl w:val="0"/>
          <w:numId w:val="17"/>
        </w:numPr>
        <w:ind w:left="360"/>
        <w:jc w:val="both"/>
      </w:pPr>
      <w:r w:rsidRPr="002F1953">
        <w:t xml:space="preserve">Ak aspoň </w:t>
      </w:r>
      <w:r w:rsidRPr="00D135BD">
        <w:rPr>
          <w:b/>
          <w:bCs/>
        </w:rPr>
        <w:t xml:space="preserve">jedna </w:t>
      </w:r>
      <w:r w:rsidR="000F00F5" w:rsidRPr="00D135BD">
        <w:rPr>
          <w:b/>
          <w:bCs/>
        </w:rPr>
        <w:t>z protistrán</w:t>
      </w:r>
      <w:r w:rsidR="000F00F5" w:rsidRPr="002F1953">
        <w:t>, ktoré si uplatňujú</w:t>
      </w:r>
      <w:r w:rsidR="002F1953" w:rsidRPr="002F1953">
        <w:t xml:space="preserve"> výnimku z ohlasovacej povinnosti</w:t>
      </w:r>
      <w:r w:rsidRPr="002F1953">
        <w:t xml:space="preserve"> je </w:t>
      </w:r>
      <w:r w:rsidRPr="00D135BD">
        <w:rPr>
          <w:b/>
          <w:bCs/>
        </w:rPr>
        <w:t>nefinančná protistrana</w:t>
      </w:r>
      <w:r w:rsidRPr="002F1953">
        <w:t>, potom</w:t>
      </w:r>
      <w:r w:rsidR="002F1953" w:rsidRPr="002F1953">
        <w:t xml:space="preserve"> protistrana(y)</w:t>
      </w:r>
      <w:r w:rsidRPr="002F1953">
        <w:t xml:space="preserve"> so sídlom v Slovenskej republike spĺňajúce podmienky pre uplatnenie výnimky z ohlasovacej povinnosti na derivátové transakcie v rámci skupiny </w:t>
      </w:r>
      <w:r w:rsidRPr="002F1953">
        <w:rPr>
          <w:b/>
          <w:bCs/>
        </w:rPr>
        <w:t xml:space="preserve">zasielajú NBS oznámenia zámeru uplatniť výnimku z ohlasovacej povinnosti </w:t>
      </w:r>
      <w:r w:rsidRPr="002F1953">
        <w:t xml:space="preserve">na </w:t>
      </w:r>
      <w:r w:rsidRPr="002F1953">
        <w:rPr>
          <w:b/>
          <w:bCs/>
        </w:rPr>
        <w:t xml:space="preserve">vzorovom formulári </w:t>
      </w:r>
      <w:r w:rsidRPr="002F1953">
        <w:t xml:space="preserve">(príloha č. 1) </w:t>
      </w:r>
      <w:r w:rsidRPr="002F1953">
        <w:rPr>
          <w:b/>
          <w:bCs/>
        </w:rPr>
        <w:t>písomnou formou na adresu</w:t>
      </w:r>
      <w:r w:rsidRPr="002F1953">
        <w:t xml:space="preserve">: </w:t>
      </w:r>
    </w:p>
    <w:p w14:paraId="7B3F8BB4" w14:textId="77777777" w:rsidR="002F1953" w:rsidRPr="002F1953" w:rsidRDefault="002F1953" w:rsidP="002F1953">
      <w:pPr>
        <w:pStyle w:val="Default"/>
      </w:pPr>
    </w:p>
    <w:p w14:paraId="766E4532" w14:textId="5EBFB2E9" w:rsidR="00D734CB" w:rsidRPr="002F1953" w:rsidRDefault="00D734CB" w:rsidP="002F1953">
      <w:pPr>
        <w:pStyle w:val="Default"/>
        <w:ind w:left="360"/>
      </w:pPr>
      <w:r w:rsidRPr="002F1953">
        <w:t xml:space="preserve">Národná banka Slovenska </w:t>
      </w:r>
    </w:p>
    <w:p w14:paraId="7F617690" w14:textId="77777777" w:rsidR="00D734CB" w:rsidRPr="002F1953" w:rsidRDefault="00D734CB" w:rsidP="002F1953">
      <w:pPr>
        <w:pStyle w:val="Default"/>
        <w:ind w:left="360"/>
      </w:pPr>
      <w:r w:rsidRPr="002F1953">
        <w:t xml:space="preserve">Útvar dohľadu nad finančným trhom </w:t>
      </w:r>
    </w:p>
    <w:p w14:paraId="590E65A0" w14:textId="77777777" w:rsidR="00D734CB" w:rsidRPr="002F1953" w:rsidRDefault="00D734CB" w:rsidP="002F1953">
      <w:pPr>
        <w:pStyle w:val="Default"/>
        <w:ind w:left="360"/>
      </w:pPr>
      <w:r w:rsidRPr="002F1953">
        <w:t xml:space="preserve">Imricha </w:t>
      </w:r>
      <w:proofErr w:type="spellStart"/>
      <w:r w:rsidRPr="002F1953">
        <w:t>Karvaša</w:t>
      </w:r>
      <w:proofErr w:type="spellEnd"/>
      <w:r w:rsidRPr="002F1953">
        <w:t xml:space="preserve"> 1 </w:t>
      </w:r>
    </w:p>
    <w:p w14:paraId="242E712B" w14:textId="4FD0DEB7" w:rsidR="00F93C40" w:rsidRDefault="00D734CB" w:rsidP="00F93C40">
      <w:pPr>
        <w:pStyle w:val="Default"/>
        <w:ind w:left="360"/>
      </w:pPr>
      <w:r w:rsidRPr="002F1953">
        <w:t xml:space="preserve">813 25 Bratislava </w:t>
      </w:r>
    </w:p>
    <w:p w14:paraId="1AFCE6ED" w14:textId="7333E0C5" w:rsidR="00D135BD" w:rsidRDefault="00D135BD" w:rsidP="00F93C40">
      <w:pPr>
        <w:pStyle w:val="Default"/>
        <w:ind w:left="360"/>
      </w:pPr>
    </w:p>
    <w:p w14:paraId="0989AB39" w14:textId="454E630F" w:rsidR="00D135BD" w:rsidRDefault="00D135BD" w:rsidP="00D135BD">
      <w:pPr>
        <w:pStyle w:val="Default"/>
        <w:numPr>
          <w:ilvl w:val="0"/>
          <w:numId w:val="17"/>
        </w:numPr>
        <w:ind w:left="360"/>
        <w:jc w:val="both"/>
      </w:pPr>
      <w:r>
        <w:t>Uplatnenie výnimky podľa pr</w:t>
      </w:r>
      <w:r w:rsidRPr="002F1953">
        <w:t>íklad</w:t>
      </w:r>
      <w:r w:rsidR="00305E40">
        <w:t>ov</w:t>
      </w:r>
      <w:r w:rsidRPr="002F1953">
        <w:t xml:space="preserve"> 1</w:t>
      </w:r>
      <w:r w:rsidR="00305E40">
        <w:t xml:space="preserve"> a 3</w:t>
      </w:r>
      <w:r w:rsidRPr="002F1953">
        <w:t xml:space="preserve"> uveden</w:t>
      </w:r>
      <w:r w:rsidR="00305E40">
        <w:t>ých</w:t>
      </w:r>
      <w:r w:rsidRPr="002F1953">
        <w:t xml:space="preserve"> vyššie sa zasiela v slovenskom jazyku</w:t>
      </w:r>
      <w:r>
        <w:t>.</w:t>
      </w:r>
      <w:r w:rsidRPr="002F1953">
        <w:t xml:space="preserve"> </w:t>
      </w:r>
    </w:p>
    <w:p w14:paraId="77C7CBE6" w14:textId="77777777" w:rsidR="00D135BD" w:rsidRDefault="00D135BD" w:rsidP="00D135BD">
      <w:pPr>
        <w:pStyle w:val="Default"/>
        <w:jc w:val="both"/>
      </w:pPr>
    </w:p>
    <w:p w14:paraId="6FFB787F" w14:textId="021A4462" w:rsidR="00D135BD" w:rsidRDefault="00D135BD" w:rsidP="00D135BD">
      <w:pPr>
        <w:pStyle w:val="Default"/>
        <w:numPr>
          <w:ilvl w:val="0"/>
          <w:numId w:val="17"/>
        </w:numPr>
        <w:ind w:left="360"/>
        <w:jc w:val="both"/>
      </w:pPr>
      <w:r>
        <w:t>Uplatnenie výnimky podľa p</w:t>
      </w:r>
      <w:r w:rsidRPr="002F1953">
        <w:t>ríklad</w:t>
      </w:r>
      <w:r w:rsidR="00305E40">
        <w:t>u</w:t>
      </w:r>
      <w:r w:rsidRPr="002F1953">
        <w:t xml:space="preserve"> 2 uveden</w:t>
      </w:r>
      <w:r w:rsidR="00305E40">
        <w:t>om</w:t>
      </w:r>
      <w:r w:rsidRPr="002F1953">
        <w:t xml:space="preserve"> vyššie sa zasiela v slovenskom aj anglickom jazyku</w:t>
      </w:r>
    </w:p>
    <w:p w14:paraId="64AA27D9" w14:textId="77777777" w:rsidR="00D135BD" w:rsidRDefault="00D135BD" w:rsidP="00D135BD">
      <w:pPr>
        <w:pStyle w:val="ListParagraph"/>
      </w:pPr>
    </w:p>
    <w:p w14:paraId="7F0B041F" w14:textId="4DC590B7" w:rsidR="00D135BD" w:rsidRDefault="00D135BD" w:rsidP="00D135BD">
      <w:pPr>
        <w:pStyle w:val="Default"/>
        <w:numPr>
          <w:ilvl w:val="0"/>
          <w:numId w:val="17"/>
        </w:numPr>
        <w:ind w:left="360"/>
        <w:jc w:val="both"/>
      </w:pPr>
      <w:r w:rsidRPr="002F1953">
        <w:t>Vzor oznámenia pre príklady 1 až 3 je v prílohe č. 1</w:t>
      </w:r>
    </w:p>
    <w:p w14:paraId="50C89FB9" w14:textId="77777777" w:rsidR="00D135BD" w:rsidRDefault="00D135BD" w:rsidP="00D135BD">
      <w:pPr>
        <w:pStyle w:val="ListParagraph"/>
      </w:pPr>
    </w:p>
    <w:p w14:paraId="2F4DA53B" w14:textId="406E7013" w:rsidR="00D135BD" w:rsidRPr="002F1953" w:rsidRDefault="00D135BD" w:rsidP="00D135BD">
      <w:pPr>
        <w:pStyle w:val="Default"/>
        <w:numPr>
          <w:ilvl w:val="0"/>
          <w:numId w:val="17"/>
        </w:numPr>
        <w:ind w:left="360"/>
        <w:jc w:val="both"/>
      </w:pPr>
      <w:r w:rsidRPr="002F1953">
        <w:t>Návod na vyplnenie niektorých polí vo vzore oznámenia je v prílohe č. 2</w:t>
      </w:r>
    </w:p>
    <w:p w14:paraId="692795A8" w14:textId="77777777" w:rsidR="00D135BD" w:rsidRDefault="00D135BD" w:rsidP="00D135BD">
      <w:pPr>
        <w:pStyle w:val="Default"/>
        <w:ind w:left="360"/>
      </w:pPr>
    </w:p>
    <w:p w14:paraId="2842DB21" w14:textId="77777777" w:rsidR="00D135BD" w:rsidRDefault="00D135BD" w:rsidP="00F93C40">
      <w:pPr>
        <w:pStyle w:val="Default"/>
        <w:ind w:left="360"/>
      </w:pPr>
    </w:p>
    <w:p w14:paraId="4A527026" w14:textId="77777777" w:rsidR="00F93C40" w:rsidRDefault="00F93C40" w:rsidP="00F93C40">
      <w:pPr>
        <w:pStyle w:val="Default"/>
        <w:ind w:left="360"/>
      </w:pPr>
    </w:p>
    <w:p w14:paraId="60509F79" w14:textId="67CE594C" w:rsidR="00D734CB" w:rsidRPr="002F1953" w:rsidRDefault="00D734CB" w:rsidP="00D135BD">
      <w:pPr>
        <w:pStyle w:val="Default"/>
        <w:pageBreakBefore/>
      </w:pPr>
      <w:r w:rsidRPr="00F93C40">
        <w:rPr>
          <w:b/>
          <w:bCs/>
        </w:rPr>
        <w:lastRenderedPageBreak/>
        <w:t xml:space="preserve">PRÍLOHY: </w:t>
      </w:r>
    </w:p>
    <w:p w14:paraId="47E02A8E" w14:textId="77777777" w:rsidR="002F1953" w:rsidRPr="002F1953" w:rsidRDefault="002F1953" w:rsidP="00D734CB">
      <w:pPr>
        <w:pStyle w:val="Default"/>
        <w:rPr>
          <w:b/>
          <w:bCs/>
        </w:rPr>
      </w:pPr>
    </w:p>
    <w:p w14:paraId="1002DF9E" w14:textId="757FEE26" w:rsidR="00D734CB" w:rsidRPr="002F1953" w:rsidRDefault="00D734CB" w:rsidP="00D734CB">
      <w:pPr>
        <w:pStyle w:val="Default"/>
      </w:pPr>
      <w:r w:rsidRPr="002F1953">
        <w:rPr>
          <w:b/>
          <w:bCs/>
        </w:rPr>
        <w:t xml:space="preserve">Príloha č. 1: </w:t>
      </w:r>
    </w:p>
    <w:p w14:paraId="59497123" w14:textId="2046AF99" w:rsidR="00D734CB" w:rsidRPr="002F1953" w:rsidRDefault="00D734CB" w:rsidP="00D734CB">
      <w:pPr>
        <w:pStyle w:val="Default"/>
      </w:pPr>
      <w:r w:rsidRPr="002F1953">
        <w:t>Vzor oznámenia zámeru uplatniť výnimku z ohlasovacej povinnosti podľa článku 9 ods. 1 EMIR</w:t>
      </w:r>
      <w:r w:rsidR="00F93C40">
        <w:t xml:space="preserve"> v znení nariadenia 2019/834</w:t>
      </w:r>
      <w:r w:rsidRPr="002F1953">
        <w:t xml:space="preserve"> na transakcie v rámci tej istej skupiny. </w:t>
      </w:r>
    </w:p>
    <w:p w14:paraId="4CDEA46C" w14:textId="77777777" w:rsidR="002F1953" w:rsidRPr="002F1953" w:rsidRDefault="002F1953" w:rsidP="00D734CB">
      <w:pPr>
        <w:pStyle w:val="Default"/>
        <w:rPr>
          <w:b/>
          <w:bCs/>
        </w:rPr>
      </w:pPr>
    </w:p>
    <w:p w14:paraId="71862327" w14:textId="4B386099" w:rsidR="00D734CB" w:rsidRPr="002F1953" w:rsidRDefault="00D734CB" w:rsidP="00D734CB">
      <w:pPr>
        <w:pStyle w:val="Default"/>
      </w:pPr>
      <w:r w:rsidRPr="002F1953">
        <w:rPr>
          <w:b/>
          <w:bCs/>
        </w:rPr>
        <w:t xml:space="preserve">Príloha č. 2: </w:t>
      </w:r>
    </w:p>
    <w:p w14:paraId="1169FCF1" w14:textId="7FF76188" w:rsidR="00D734CB" w:rsidRPr="002F1953" w:rsidRDefault="00D734CB" w:rsidP="00D734CB">
      <w:pPr>
        <w:rPr>
          <w:rFonts w:ascii="Times New Roman" w:hAnsi="Times New Roman" w:cs="Times New Roman"/>
          <w:sz w:val="24"/>
          <w:szCs w:val="24"/>
        </w:rPr>
      </w:pPr>
      <w:r w:rsidRPr="002F1953">
        <w:rPr>
          <w:rFonts w:ascii="Times New Roman" w:hAnsi="Times New Roman" w:cs="Times New Roman"/>
          <w:sz w:val="24"/>
          <w:szCs w:val="24"/>
        </w:rPr>
        <w:t>Návod na vyplnenie niektorých polí vo vzore oznámenia</w:t>
      </w:r>
    </w:p>
    <w:sectPr w:rsidR="00D734CB" w:rsidRPr="002F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86C1" w14:textId="77777777" w:rsidR="000638D3" w:rsidRDefault="000638D3" w:rsidP="00D23214">
      <w:pPr>
        <w:spacing w:after="0" w:line="240" w:lineRule="auto"/>
      </w:pPr>
      <w:r>
        <w:separator/>
      </w:r>
    </w:p>
  </w:endnote>
  <w:endnote w:type="continuationSeparator" w:id="0">
    <w:p w14:paraId="54DE8CDC" w14:textId="77777777" w:rsidR="000638D3" w:rsidRDefault="000638D3" w:rsidP="00D2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C6BF" w14:textId="77777777" w:rsidR="000638D3" w:rsidRDefault="000638D3" w:rsidP="00D23214">
      <w:pPr>
        <w:spacing w:after="0" w:line="240" w:lineRule="auto"/>
      </w:pPr>
      <w:r>
        <w:separator/>
      </w:r>
    </w:p>
  </w:footnote>
  <w:footnote w:type="continuationSeparator" w:id="0">
    <w:p w14:paraId="23723216" w14:textId="77777777" w:rsidR="000638D3" w:rsidRDefault="000638D3" w:rsidP="00D2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D27"/>
    <w:multiLevelType w:val="hybridMultilevel"/>
    <w:tmpl w:val="E34457EC"/>
    <w:lvl w:ilvl="0" w:tplc="3B384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CCA"/>
    <w:multiLevelType w:val="hybridMultilevel"/>
    <w:tmpl w:val="6E2E6B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081"/>
    <w:multiLevelType w:val="hybridMultilevel"/>
    <w:tmpl w:val="437AEFD4"/>
    <w:lvl w:ilvl="0" w:tplc="12AE0C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DC5"/>
    <w:multiLevelType w:val="hybridMultilevel"/>
    <w:tmpl w:val="245C2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EAE1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32BF"/>
    <w:multiLevelType w:val="hybridMultilevel"/>
    <w:tmpl w:val="036237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043E"/>
    <w:multiLevelType w:val="hybridMultilevel"/>
    <w:tmpl w:val="C37E2A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4958"/>
    <w:multiLevelType w:val="hybridMultilevel"/>
    <w:tmpl w:val="ECA06C90"/>
    <w:lvl w:ilvl="0" w:tplc="52C81CD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10B19"/>
    <w:multiLevelType w:val="hybridMultilevel"/>
    <w:tmpl w:val="D892ED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70622"/>
    <w:multiLevelType w:val="hybridMultilevel"/>
    <w:tmpl w:val="0E82EF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F6AC1"/>
    <w:multiLevelType w:val="hybridMultilevel"/>
    <w:tmpl w:val="C0167F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5A020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6FD2"/>
    <w:multiLevelType w:val="hybridMultilevel"/>
    <w:tmpl w:val="F41A23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80A26"/>
    <w:multiLevelType w:val="hybridMultilevel"/>
    <w:tmpl w:val="5B4019F4"/>
    <w:lvl w:ilvl="0" w:tplc="B7746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236"/>
    <w:multiLevelType w:val="hybridMultilevel"/>
    <w:tmpl w:val="C4A22F48"/>
    <w:lvl w:ilvl="0" w:tplc="AB4C33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2300"/>
    <w:multiLevelType w:val="hybridMultilevel"/>
    <w:tmpl w:val="DCD20D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81973"/>
    <w:multiLevelType w:val="hybridMultilevel"/>
    <w:tmpl w:val="2DD21D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82CD8"/>
    <w:multiLevelType w:val="hybridMultilevel"/>
    <w:tmpl w:val="DC2C1CFE"/>
    <w:lvl w:ilvl="0" w:tplc="AB4C33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804AF"/>
    <w:multiLevelType w:val="hybridMultilevel"/>
    <w:tmpl w:val="D1BCCC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16"/>
  </w:num>
  <w:num w:numId="10">
    <w:abstractNumId w:val="8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CB"/>
    <w:rsid w:val="000638D3"/>
    <w:rsid w:val="000F00F5"/>
    <w:rsid w:val="001802A0"/>
    <w:rsid w:val="00194A0F"/>
    <w:rsid w:val="001D182C"/>
    <w:rsid w:val="001E695F"/>
    <w:rsid w:val="002F1953"/>
    <w:rsid w:val="00305E40"/>
    <w:rsid w:val="00385962"/>
    <w:rsid w:val="0041301A"/>
    <w:rsid w:val="004A3CFD"/>
    <w:rsid w:val="004E0825"/>
    <w:rsid w:val="004F610F"/>
    <w:rsid w:val="00513425"/>
    <w:rsid w:val="00563314"/>
    <w:rsid w:val="005705DD"/>
    <w:rsid w:val="005977ED"/>
    <w:rsid w:val="006102F4"/>
    <w:rsid w:val="007048D7"/>
    <w:rsid w:val="007B35F7"/>
    <w:rsid w:val="007C3948"/>
    <w:rsid w:val="00872213"/>
    <w:rsid w:val="008736EC"/>
    <w:rsid w:val="00875D1B"/>
    <w:rsid w:val="008A4ABD"/>
    <w:rsid w:val="00986C74"/>
    <w:rsid w:val="00A32671"/>
    <w:rsid w:val="00A92181"/>
    <w:rsid w:val="00B4521E"/>
    <w:rsid w:val="00B501A5"/>
    <w:rsid w:val="00B5267D"/>
    <w:rsid w:val="00BD1CDB"/>
    <w:rsid w:val="00BD6DA0"/>
    <w:rsid w:val="00C127D4"/>
    <w:rsid w:val="00CF7365"/>
    <w:rsid w:val="00D135BD"/>
    <w:rsid w:val="00D23214"/>
    <w:rsid w:val="00D4270E"/>
    <w:rsid w:val="00D734CB"/>
    <w:rsid w:val="00E46AF3"/>
    <w:rsid w:val="00E84C67"/>
    <w:rsid w:val="00EA18BB"/>
    <w:rsid w:val="00EE60A9"/>
    <w:rsid w:val="00EF5C80"/>
    <w:rsid w:val="00F33F8D"/>
    <w:rsid w:val="00F52EB9"/>
    <w:rsid w:val="00F93C40"/>
    <w:rsid w:val="00F95892"/>
    <w:rsid w:val="00FE02A0"/>
    <w:rsid w:val="00FF53A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7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3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CFD"/>
    <w:pPr>
      <w:ind w:left="720"/>
      <w:contextualSpacing/>
    </w:pPr>
  </w:style>
  <w:style w:type="character" w:customStyle="1" w:styleId="y2iqfc">
    <w:name w:val="y2iqfc"/>
    <w:basedOn w:val="DefaultParagraphFont"/>
    <w:rsid w:val="00BD1CDB"/>
  </w:style>
  <w:style w:type="character" w:styleId="Hyperlink">
    <w:name w:val="Hyperlink"/>
    <w:basedOn w:val="DefaultParagraphFont"/>
    <w:uiPriority w:val="99"/>
    <w:unhideWhenUsed/>
    <w:rsid w:val="00E46A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C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14"/>
  </w:style>
  <w:style w:type="paragraph" w:styleId="Footer">
    <w:name w:val="footer"/>
    <w:basedOn w:val="Normal"/>
    <w:link w:val="FooterChar"/>
    <w:uiPriority w:val="99"/>
    <w:unhideWhenUsed/>
    <w:rsid w:val="00D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ma.europa.eu/sites/default/files/library/esma70-1861941480-52_qa_on_emir_implement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144C-9D90-43D3-9F43-4FEF5E2E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2038</Words>
  <Characters>11618</Characters>
  <Application>Microsoft Office Word</Application>
  <DocSecurity>0</DocSecurity>
  <Lines>96</Lines>
  <Paragraphs>27</Paragraphs>
  <ScaleCrop>false</ScaleCrop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2023-01-08T08:23:00Z</dcterms:created>
  <dcterms:modified xsi:type="dcterms:W3CDTF">2023-01-08T08:26:00Z</dcterms:modified>
</cp:coreProperties>
</file>