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E680F" w14:textId="41F89969" w:rsidR="00E20AE0" w:rsidRDefault="00E20AE0"/>
    <w:p w14:paraId="5C8EF117" w14:textId="77777777" w:rsidR="000873B3" w:rsidRPr="000873B3" w:rsidRDefault="000873B3" w:rsidP="000873B3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</w:pPr>
      <w:proofErr w:type="spellStart"/>
      <w:r w:rsidRPr="000873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Form</w:t>
      </w:r>
      <w:proofErr w:type="spellEnd"/>
      <w:r w:rsidRPr="000873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for</w:t>
      </w:r>
      <w:proofErr w:type="spellEnd"/>
      <w:r w:rsidRPr="000873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the</w:t>
      </w:r>
      <w:proofErr w:type="spellEnd"/>
      <w:r w:rsidRPr="000873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submission</w:t>
      </w:r>
      <w:proofErr w:type="spellEnd"/>
      <w:r w:rsidRPr="000873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of </w:t>
      </w:r>
      <w:proofErr w:type="spellStart"/>
      <w:r w:rsidRPr="000873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services</w:t>
      </w:r>
      <w:proofErr w:type="spellEnd"/>
      <w:r w:rsidRPr="000873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passport</w:t>
      </w:r>
      <w:proofErr w:type="spellEnd"/>
      <w:r w:rsidRPr="000873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sk-SK"/>
        </w:rPr>
        <w:t>notification</w:t>
      </w:r>
      <w:proofErr w:type="spellEnd"/>
    </w:p>
    <w:p w14:paraId="72C3F7C3" w14:textId="77777777" w:rsidR="000873B3" w:rsidRPr="000873B3" w:rsidRDefault="000873B3" w:rsidP="000873B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087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1.   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Contact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information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5"/>
        <w:gridCol w:w="2321"/>
      </w:tblGrid>
      <w:tr w:rsidR="000873B3" w:rsidRPr="000873B3" w14:paraId="338B1C0C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4F012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Type of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notification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AC2AC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Services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passport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notification</w:t>
            </w:r>
            <w:proofErr w:type="spellEnd"/>
          </w:p>
        </w:tc>
      </w:tr>
      <w:tr w:rsidR="000873B3" w:rsidRPr="000873B3" w14:paraId="66B9CBE2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BFD0D9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Host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Member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State in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which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credit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institution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intends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carry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out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its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activities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BC028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19C84DE8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F8AF3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Name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national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reference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code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credit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institution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as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available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credit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institution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register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maintained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by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EBA: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124AB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2374545B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6187F3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LEI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credit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institution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A93C20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57DDB430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4F625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Address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head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office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credit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institution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F3CBC9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7DDE58F5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566AEE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Name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contact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person at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credit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institution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10FF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2C35B4E8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07B43A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Telephone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number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99ED6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33E882B1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69E101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Email: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E9B599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A82CC" w14:textId="77777777" w:rsidR="000873B3" w:rsidRPr="000873B3" w:rsidRDefault="000873B3" w:rsidP="000873B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087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2.   </w:t>
      </w:r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List of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activities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referred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to in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Annex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I to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Directive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2013/36/EU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that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credit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institution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will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carry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out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in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host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Member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State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with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indication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of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activities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that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will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constitute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core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business of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credit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institution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in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host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Member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State,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including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intended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commencement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date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for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each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activity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(as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accurate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as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possible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3426"/>
        <w:gridCol w:w="1989"/>
        <w:gridCol w:w="1655"/>
        <w:gridCol w:w="1439"/>
      </w:tblGrid>
      <w:tr w:rsidR="000873B3" w:rsidRPr="000873B3" w14:paraId="3BE1A893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8C109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024E4F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Activity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8316F2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Activities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that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credit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institution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intends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to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carry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out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(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fill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in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with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“X”)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14317B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Activities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that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will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constitute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core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business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BB275C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Intended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start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date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for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each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activity</w:t>
            </w:r>
            <w:proofErr w:type="spellEnd"/>
          </w:p>
        </w:tc>
      </w:tr>
      <w:tr w:rsidR="000873B3" w:rsidRPr="000873B3" w14:paraId="33800F19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0CD310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09E77B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Taking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deposits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other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repayable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funds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0204E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37DC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7DA71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50005467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D00195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98042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Lending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including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inter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alia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: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consumer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credit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credit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agreements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relating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immovable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property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factoring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with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or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without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recourse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financing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commercial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transactions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including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forfeiting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1A1043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EE9B3B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C5E573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0CA0AD01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B2D55A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AFA0AE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Financial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leasing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41BE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9EA3C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E4B6E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4460DBEB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19C460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8F5583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Payment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services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as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defined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Article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 4, point (3)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Directive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(EU) 2015/2366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European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Parliament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and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Council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fldChar w:fldCharType="begin"/>
            </w: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instrText xml:space="preserve"> HYPERLINK "https://eur-lex.europa.eu/legal-content/EN/TXT/HTML/?uri=CELEX:32022R0193&amp;from=SK" \l "ntr5-L_2022031EN.01001701-E0001" </w:instrText>
            </w: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fldChar w:fldCharType="separate"/>
            </w:r>
            <w:r w:rsidRPr="000873B3">
              <w:rPr>
                <w:rFonts w:ascii="inherit" w:eastAsia="Times New Roman" w:hAnsi="inherit" w:cs="Times New Roman"/>
                <w:color w:val="337AB7"/>
                <w:u w:val="single"/>
                <w:lang w:eastAsia="sk-SK"/>
              </w:rPr>
              <w:t> (</w:t>
            </w:r>
            <w:r w:rsidRPr="000873B3">
              <w:rPr>
                <w:rFonts w:ascii="inherit" w:eastAsia="Times New Roman" w:hAnsi="inherit" w:cs="Times New Roman"/>
                <w:color w:val="337AB7"/>
                <w:sz w:val="15"/>
                <w:szCs w:val="15"/>
                <w:vertAlign w:val="superscript"/>
                <w:lang w:eastAsia="sk-SK"/>
              </w:rPr>
              <w:t>5</w:t>
            </w:r>
            <w:r w:rsidRPr="000873B3">
              <w:rPr>
                <w:rFonts w:ascii="inherit" w:eastAsia="Times New Roman" w:hAnsi="inherit" w:cs="Times New Roman"/>
                <w:color w:val="337AB7"/>
                <w:u w:val="single"/>
                <w:lang w:eastAsia="sk-SK"/>
              </w:rPr>
              <w:t>)</w:t>
            </w: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D07D1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5C0153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AB8D85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30BB9863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E18D7A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4a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FD699F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Services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enabling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cash to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be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placed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on a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payment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account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all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lastRenderedPageBreak/>
              <w:t>operations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required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for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operating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payment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account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9CC9B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BB39F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AB8289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5823B3D6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D1E6E8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4b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941D0F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Services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enabling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cash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withdrawals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from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payment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account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all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operations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required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for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operating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payment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account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BACE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95F031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2C577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78A43785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709A8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4c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FA67F8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Execution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payment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transactions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including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transfers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funds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on a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payment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account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with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user’s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payment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service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provider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or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with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another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payment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service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provider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171"/>
            </w:tblGrid>
            <w:tr w:rsidR="000873B3" w:rsidRPr="000873B3" w14:paraId="687A3EC6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5736B56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7E99EB4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execution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direct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debits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,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including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one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-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off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direct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debits</w:t>
                  </w:r>
                  <w:proofErr w:type="spellEnd"/>
                </w:p>
              </w:tc>
            </w:tr>
          </w:tbl>
          <w:p w14:paraId="34C71489" w14:textId="77777777" w:rsidR="000873B3" w:rsidRPr="000873B3" w:rsidRDefault="000873B3" w:rsidP="000873B3">
            <w:pPr>
              <w:spacing w:after="0" w:line="240" w:lineRule="auto"/>
              <w:rPr>
                <w:rFonts w:ascii="inherit" w:eastAsia="Times New Roman" w:hAnsi="inherit" w:cs="Times New Roman"/>
                <w:vanish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171"/>
            </w:tblGrid>
            <w:tr w:rsidR="000873B3" w:rsidRPr="000873B3" w14:paraId="5082062C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46BA71B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0F6A0C2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execution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payment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transactions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through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a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payment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card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or a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similar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device</w:t>
                  </w:r>
                </w:p>
              </w:tc>
            </w:tr>
          </w:tbl>
          <w:p w14:paraId="27339BB4" w14:textId="77777777" w:rsidR="000873B3" w:rsidRPr="000873B3" w:rsidRDefault="000873B3" w:rsidP="000873B3">
            <w:pPr>
              <w:spacing w:after="0" w:line="240" w:lineRule="auto"/>
              <w:rPr>
                <w:rFonts w:ascii="inherit" w:eastAsia="Times New Roman" w:hAnsi="inherit" w:cs="Times New Roman"/>
                <w:vanish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171"/>
            </w:tblGrid>
            <w:tr w:rsidR="000873B3" w:rsidRPr="000873B3" w14:paraId="588FF792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01E91A71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6A8108E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execution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transfers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,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including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standing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orders</w:t>
                  </w:r>
                  <w:proofErr w:type="spellEnd"/>
                </w:p>
              </w:tc>
            </w:tr>
          </w:tbl>
          <w:p w14:paraId="261980AB" w14:textId="77777777" w:rsidR="000873B3" w:rsidRPr="000873B3" w:rsidRDefault="000873B3" w:rsidP="000873B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69F7C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53C7C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246E3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2BD6324F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2F4D5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4d</w:t>
            </w:r>
            <w:hyperlink r:id="rId4" w:anchor="ntr*-L_2022031EN.01001701-E0002" w:history="1">
              <w:r w:rsidRPr="000873B3">
                <w:rPr>
                  <w:rFonts w:ascii="inherit" w:eastAsia="Times New Roman" w:hAnsi="inherit" w:cs="Times New Roman"/>
                  <w:color w:val="337AB7"/>
                  <w:u w:val="single"/>
                  <w:lang w:eastAsia="sk-SK"/>
                </w:rPr>
                <w:t> (</w:t>
              </w:r>
              <w:r w:rsidRPr="000873B3">
                <w:rPr>
                  <w:rFonts w:ascii="inherit" w:eastAsia="Times New Roman" w:hAnsi="inherit" w:cs="Times New Roman"/>
                  <w:color w:val="337AB7"/>
                  <w:sz w:val="15"/>
                  <w:szCs w:val="15"/>
                  <w:vertAlign w:val="superscript"/>
                  <w:lang w:eastAsia="sk-SK"/>
                </w:rPr>
                <w:t>*</w:t>
              </w:r>
              <w:r w:rsidRPr="000873B3">
                <w:rPr>
                  <w:rFonts w:ascii="inherit" w:eastAsia="Times New Roman" w:hAnsi="inherit" w:cs="Times New Roman"/>
                  <w:color w:val="337AB7"/>
                  <w:u w:val="single"/>
                  <w:lang w:eastAsia="sk-SK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A7719C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Execution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payment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transactions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where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funds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are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covered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by a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credit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line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for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payment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service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user: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171"/>
            </w:tblGrid>
            <w:tr w:rsidR="000873B3" w:rsidRPr="000873B3" w14:paraId="2B312068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07BE4C89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2A8AD599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execution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direct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debits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,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including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one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-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off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direct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debits</w:t>
                  </w:r>
                  <w:proofErr w:type="spellEnd"/>
                </w:p>
              </w:tc>
            </w:tr>
          </w:tbl>
          <w:p w14:paraId="16B4F6BF" w14:textId="77777777" w:rsidR="000873B3" w:rsidRPr="000873B3" w:rsidRDefault="000873B3" w:rsidP="000873B3">
            <w:pPr>
              <w:spacing w:after="0" w:line="240" w:lineRule="auto"/>
              <w:rPr>
                <w:rFonts w:ascii="inherit" w:eastAsia="Times New Roman" w:hAnsi="inherit" w:cs="Times New Roman"/>
                <w:vanish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171"/>
            </w:tblGrid>
            <w:tr w:rsidR="000873B3" w:rsidRPr="000873B3" w14:paraId="48FFBE63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376AC35F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15D5E004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execution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payment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transactions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through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a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payment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card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or a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similar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device</w:t>
                  </w:r>
                </w:p>
              </w:tc>
            </w:tr>
          </w:tbl>
          <w:p w14:paraId="1637BA01" w14:textId="77777777" w:rsidR="000873B3" w:rsidRPr="000873B3" w:rsidRDefault="000873B3" w:rsidP="000873B3">
            <w:pPr>
              <w:spacing w:after="0" w:line="240" w:lineRule="auto"/>
              <w:rPr>
                <w:rFonts w:ascii="inherit" w:eastAsia="Times New Roman" w:hAnsi="inherit" w:cs="Times New Roman"/>
                <w:vanish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171"/>
            </w:tblGrid>
            <w:tr w:rsidR="000873B3" w:rsidRPr="000873B3" w14:paraId="04C8440F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2E76A43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32E48B7F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execution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credit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transfers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,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including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standing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orders</w:t>
                  </w:r>
                  <w:proofErr w:type="spellEnd"/>
                </w:p>
              </w:tc>
            </w:tr>
          </w:tbl>
          <w:p w14:paraId="11E79A6A" w14:textId="77777777" w:rsidR="000873B3" w:rsidRPr="000873B3" w:rsidRDefault="000873B3" w:rsidP="000873B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1B995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D7823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AB5485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43C021E5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4B8D2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4e</w:t>
            </w:r>
            <w:hyperlink r:id="rId5" w:anchor="ntr**-L_2022031EN.01001701-E0003" w:history="1">
              <w:r w:rsidRPr="000873B3">
                <w:rPr>
                  <w:rFonts w:ascii="inherit" w:eastAsia="Times New Roman" w:hAnsi="inherit" w:cs="Times New Roman"/>
                  <w:color w:val="337AB7"/>
                  <w:u w:val="single"/>
                  <w:lang w:eastAsia="sk-SK"/>
                </w:rPr>
                <w:t> (</w:t>
              </w:r>
              <w:r w:rsidRPr="000873B3">
                <w:rPr>
                  <w:rFonts w:ascii="inherit" w:eastAsia="Times New Roman" w:hAnsi="inherit" w:cs="Times New Roman"/>
                  <w:color w:val="337AB7"/>
                  <w:sz w:val="15"/>
                  <w:szCs w:val="15"/>
                  <w:vertAlign w:val="superscript"/>
                  <w:lang w:eastAsia="sk-SK"/>
                </w:rPr>
                <w:t>**</w:t>
              </w:r>
              <w:r w:rsidRPr="000873B3">
                <w:rPr>
                  <w:rFonts w:ascii="inherit" w:eastAsia="Times New Roman" w:hAnsi="inherit" w:cs="Times New Roman"/>
                  <w:color w:val="337AB7"/>
                  <w:u w:val="single"/>
                  <w:lang w:eastAsia="sk-SK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171"/>
            </w:tblGrid>
            <w:tr w:rsidR="000873B3" w:rsidRPr="000873B3" w14:paraId="0D2A5521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4432C00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4FFBE26D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Issuing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payment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instruments</w:t>
                  </w:r>
                  <w:proofErr w:type="spellEnd"/>
                </w:p>
              </w:tc>
            </w:tr>
          </w:tbl>
          <w:p w14:paraId="2C108B30" w14:textId="77777777" w:rsidR="000873B3" w:rsidRPr="000873B3" w:rsidRDefault="000873B3" w:rsidP="000873B3">
            <w:pPr>
              <w:spacing w:after="0" w:line="240" w:lineRule="auto"/>
              <w:rPr>
                <w:rFonts w:ascii="inherit" w:eastAsia="Times New Roman" w:hAnsi="inherit" w:cs="Times New Roman"/>
                <w:vanish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171"/>
            </w:tblGrid>
            <w:tr w:rsidR="000873B3" w:rsidRPr="000873B3" w14:paraId="536990B3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11B86CC2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6B310A6B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Acquiring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payment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transactions</w:t>
                  </w:r>
                  <w:proofErr w:type="spellEnd"/>
                </w:p>
              </w:tc>
            </w:tr>
          </w:tbl>
          <w:p w14:paraId="13E0F72D" w14:textId="77777777" w:rsidR="000873B3" w:rsidRPr="000873B3" w:rsidRDefault="000873B3" w:rsidP="000873B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72C2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E58D7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71CC8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46834F6D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E139A4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4f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6D0E30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Money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remittance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C6177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7EE36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E6E8F1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3474F9F0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8AD553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4g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6AAFF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Payment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initiation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services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7AA3F1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F0544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DF02A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63AE33F0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A5340C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4h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CA6B42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Account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information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services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816D9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56E11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0562DB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5055CB38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0B69DC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E8F770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Issuing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administering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other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means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payment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e.g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travellers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’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cheques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bankers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’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drafts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)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insofar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as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such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activity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not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covered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by point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69475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E2FC00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EA373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674B04A2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1F5B2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1B52AD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Guarantees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commitments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3FACB5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D1915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C0AA1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61703107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FD9C7C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690E85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Trading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for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own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account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or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for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account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customers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any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following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5EFD7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F003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28487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4BBBB61B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5BDCC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7a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171"/>
            </w:tblGrid>
            <w:tr w:rsidR="000873B3" w:rsidRPr="000873B3" w14:paraId="4EF3D8B3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651F164C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4A73D9E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money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market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instruments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(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e.g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.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cheques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,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bills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,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certificates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of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deposits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)</w:t>
                  </w:r>
                </w:p>
              </w:tc>
            </w:tr>
          </w:tbl>
          <w:p w14:paraId="7BCD2011" w14:textId="77777777" w:rsidR="000873B3" w:rsidRPr="000873B3" w:rsidRDefault="000873B3" w:rsidP="000873B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54329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5EC53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E816B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20B19877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4604FE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7b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"/>
              <w:gridCol w:w="2999"/>
            </w:tblGrid>
            <w:tr w:rsidR="000873B3" w:rsidRPr="000873B3" w14:paraId="7694A17D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483A86A6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084C6A3F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foreign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exchange</w:t>
                  </w:r>
                  <w:proofErr w:type="spellEnd"/>
                </w:p>
              </w:tc>
            </w:tr>
          </w:tbl>
          <w:p w14:paraId="3F0437DD" w14:textId="77777777" w:rsidR="000873B3" w:rsidRPr="000873B3" w:rsidRDefault="000873B3" w:rsidP="000873B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DFF21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56A61B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2F468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7CFD75F1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32C487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7c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8"/>
              <w:gridCol w:w="3153"/>
            </w:tblGrid>
            <w:tr w:rsidR="000873B3" w:rsidRPr="000873B3" w14:paraId="2F1B617A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2EAA4AD5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56059469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financial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futures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and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options</w:t>
                  </w:r>
                  <w:proofErr w:type="spellEnd"/>
                </w:p>
              </w:tc>
            </w:tr>
          </w:tbl>
          <w:p w14:paraId="48775D49" w14:textId="77777777" w:rsidR="000873B3" w:rsidRPr="000873B3" w:rsidRDefault="000873B3" w:rsidP="000873B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429CC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8631C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314A5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0A637D3A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A2A14E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7d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3171"/>
            </w:tblGrid>
            <w:tr w:rsidR="000873B3" w:rsidRPr="000873B3" w14:paraId="52DD2E27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5412DF76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3139F8F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exchange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and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interest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-rate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instruments</w:t>
                  </w:r>
                  <w:proofErr w:type="spellEnd"/>
                </w:p>
              </w:tc>
            </w:tr>
          </w:tbl>
          <w:p w14:paraId="0A407C17" w14:textId="77777777" w:rsidR="000873B3" w:rsidRPr="000873B3" w:rsidRDefault="000873B3" w:rsidP="000873B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E543B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648B25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3AC9F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4577F287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C7C1C9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7e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3089"/>
            </w:tblGrid>
            <w:tr w:rsidR="000873B3" w:rsidRPr="000873B3" w14:paraId="20406F81" w14:textId="77777777">
              <w:tc>
                <w:tcPr>
                  <w:tcW w:w="0" w:type="auto"/>
                  <w:shd w:val="clear" w:color="auto" w:fill="auto"/>
                  <w:hideMark/>
                </w:tcPr>
                <w:p w14:paraId="7B61F9D5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14:paraId="78BA5AF5" w14:textId="77777777" w:rsidR="000873B3" w:rsidRPr="000873B3" w:rsidRDefault="000873B3" w:rsidP="000873B3">
                  <w:pPr>
                    <w:spacing w:before="120" w:after="0" w:line="240" w:lineRule="auto"/>
                    <w:jc w:val="both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</w:pP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transferable</w:t>
                  </w:r>
                  <w:proofErr w:type="spellEnd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0873B3">
                    <w:rPr>
                      <w:rFonts w:ascii="inherit" w:eastAsia="Times New Roman" w:hAnsi="inherit" w:cs="Times New Roman"/>
                      <w:sz w:val="24"/>
                      <w:szCs w:val="24"/>
                      <w:lang w:eastAsia="sk-SK"/>
                    </w:rPr>
                    <w:t>securities</w:t>
                  </w:r>
                  <w:proofErr w:type="spellEnd"/>
                </w:p>
              </w:tc>
            </w:tr>
          </w:tbl>
          <w:p w14:paraId="63025D23" w14:textId="77777777" w:rsidR="000873B3" w:rsidRPr="000873B3" w:rsidRDefault="000873B3" w:rsidP="000873B3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BBE72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06C8E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71813E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14EB1BBF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9FF811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FC618C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Participation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securities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issues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provision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services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related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such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issues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36E24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34391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93C4A0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11F8A825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43E43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255BF1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Advice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undertakings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capital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structure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industrial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strategy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, and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related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questions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advice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as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well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as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services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relating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mergers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the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purchase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undertakings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4510F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A849C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22B7F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28F9728A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57615F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F2964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Money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broking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23BDC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4CDC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C6BACE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703E7837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ABDBCC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1BD569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Portfolio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management and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advice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D6EEBE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1C173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B704C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4BBD88CC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96CBD8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16ECAB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Safekeeping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administration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securities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8235B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54506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9E4B59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3B3B585E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35D06D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89C907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Credit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reference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services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F1ECCE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167DD1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E592B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239C3A87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B9E3B7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61CDF4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Safe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custody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services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26E7D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986FE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0AD50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1234BFEC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7E089D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1D3205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Issuing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electronic</w:t>
            </w:r>
            <w:proofErr w:type="spellEnd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money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14D27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DBFC2B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65FA00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CB38632" w14:textId="77777777" w:rsidR="000873B3" w:rsidRPr="000873B3" w:rsidRDefault="000873B3" w:rsidP="000873B3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087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3.   </w:t>
      </w:r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List of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services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and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activities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that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credit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institution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intends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to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carry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out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in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host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Member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State, and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which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are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provided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for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in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Sections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A and B of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Annex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I to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Directive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2014/65/EU,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when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referring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to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the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financial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instruments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provided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for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in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Section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C of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that</w:t>
      </w:r>
      <w:proofErr w:type="spellEnd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sk-SK"/>
        </w:rPr>
        <w:t>Annex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443"/>
        <w:gridCol w:w="443"/>
        <w:gridCol w:w="443"/>
        <w:gridCol w:w="443"/>
        <w:gridCol w:w="442"/>
        <w:gridCol w:w="442"/>
        <w:gridCol w:w="442"/>
        <w:gridCol w:w="442"/>
        <w:gridCol w:w="484"/>
        <w:gridCol w:w="442"/>
        <w:gridCol w:w="442"/>
        <w:gridCol w:w="442"/>
        <w:gridCol w:w="442"/>
        <w:gridCol w:w="442"/>
        <w:gridCol w:w="442"/>
        <w:gridCol w:w="442"/>
      </w:tblGrid>
      <w:tr w:rsidR="000873B3" w:rsidRPr="000873B3" w14:paraId="7B68EC8A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2FEE40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Financial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instruments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D3EF07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Investment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services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and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activities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85E15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21D158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Ancillary</w:t>
            </w:r>
            <w:proofErr w:type="spellEnd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services</w:t>
            </w:r>
            <w:proofErr w:type="spellEnd"/>
          </w:p>
        </w:tc>
      </w:tr>
      <w:tr w:rsidR="000873B3" w:rsidRPr="000873B3" w14:paraId="5B060066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47669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377D74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A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D4B9BD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A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E65609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A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7F70F5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A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1D511B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A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BD3413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A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3B0BD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A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203BF7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A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A975DB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A9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1B2799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B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CB1F01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B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713E1C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B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687C5B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B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779424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B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7ADDE8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B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9FC2EF" w14:textId="77777777" w:rsidR="000873B3" w:rsidRPr="000873B3" w:rsidRDefault="000873B3" w:rsidP="000873B3">
            <w:pPr>
              <w:spacing w:before="60" w:after="60" w:line="240" w:lineRule="auto"/>
              <w:ind w:right="195"/>
              <w:jc w:val="center"/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b/>
                <w:bCs/>
                <w:color w:val="000000"/>
                <w:lang w:eastAsia="sk-SK"/>
              </w:rPr>
              <w:t>B 7</w:t>
            </w:r>
          </w:p>
        </w:tc>
      </w:tr>
      <w:tr w:rsidR="000873B3" w:rsidRPr="000873B3" w14:paraId="1725952B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4A1E07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6EA54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C720C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174E5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2E3FAB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4D721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EB691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4ECD31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229595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D16B9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19605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92A7D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3D33E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FCEE1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4806D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3BF97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DE385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561E08D9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D84174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53C6C5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FD664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49B58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C56F3B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4901F3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DCA71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03C339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654AAE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EEE17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4D179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8E7830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A580C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4B67F5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FE4E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DC6B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9D2EEE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20A2449E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464300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852C7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08C14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EBA30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D9FC0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A6E3D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7EE77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82F44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25A81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B6D35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D7821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A63DAB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987B05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B46DF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EBA64E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579E55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61EBD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2DE03C95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2F383E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8D6A0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288D2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BB83A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B78FB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12243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045B0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24D77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6B95E0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61867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6F959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CB657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00D10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612131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430820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B9DB9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FEA3D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0C209694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80F314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lastRenderedPageBreak/>
              <w:t>C5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F9FCAB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5EDAA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F70AC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65C43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25743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E7E36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0BD19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7377C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C6C76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DDEBB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A928E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92A95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783C4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ACAA55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F708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5D736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61CFC126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D57AC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594C4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CF539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6E355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0C0A1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ED23B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804F9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7A368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8B081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1BDB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98A04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4A7CF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A0000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CEF73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EEAC29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4F56B1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BDAE2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640E24D7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31AF9C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2AE79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033F5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A1718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8E079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C6E05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9915F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C6C9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0E97C0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E071E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7E538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574D1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36410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698E2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8005A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659F13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9479B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546D1B22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A83143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769310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F4775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9457F3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FEAFF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B244E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0AB43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AFF7A5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C5D1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4C27A0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99110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EDC3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C3C775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C7AF4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9C974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646020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C8839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02063889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B6DB0A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FDF9D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671DB3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EB3F61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B66E5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D7465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B3628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D8DCB1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75CD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D1D60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0DE693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53692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F699A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722969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AB776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0FED6D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144E2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60B75449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B38C80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21F533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C8892E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4399E2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73235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2032FF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5151DB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BE03B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1766B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8D94A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4AD60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3BE5E9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F00009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3E2B8B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1937E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8292E7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A76AB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873B3" w:rsidRPr="000873B3" w14:paraId="45CAB048" w14:textId="77777777" w:rsidTr="000873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297060" w14:textId="77777777" w:rsidR="000873B3" w:rsidRPr="000873B3" w:rsidRDefault="000873B3" w:rsidP="000873B3">
            <w:pPr>
              <w:spacing w:before="60" w:after="60" w:line="240" w:lineRule="auto"/>
              <w:rPr>
                <w:rFonts w:ascii="inherit" w:eastAsia="Times New Roman" w:hAnsi="inherit" w:cs="Times New Roman"/>
                <w:color w:val="000000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lang w:eastAsia="sk-SK"/>
              </w:rPr>
              <w:t>C11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C8F660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0C97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5DDF8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551D33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E219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6B85A1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F2614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8AE14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1E7CB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561FA6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091963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1FF55C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1490C8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0311A4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C870E9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A05430" w14:textId="77777777" w:rsidR="000873B3" w:rsidRPr="000873B3" w:rsidRDefault="000873B3" w:rsidP="000873B3">
            <w:pPr>
              <w:spacing w:before="120" w:after="0" w:line="240" w:lineRule="auto"/>
              <w:jc w:val="both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</w:pPr>
            <w:r w:rsidRPr="000873B3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BD99F8A" w14:textId="77777777" w:rsidR="000873B3" w:rsidRPr="000873B3" w:rsidRDefault="000873B3" w:rsidP="000873B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  <w:r w:rsidRPr="000873B3">
        <w:rPr>
          <w:rFonts w:ascii="inherit" w:eastAsia="Times New Roman" w:hAnsi="inherit" w:cs="Times New Roman"/>
          <w:i/>
          <w:iCs/>
          <w:color w:val="000000"/>
          <w:sz w:val="24"/>
          <w:szCs w:val="24"/>
          <w:lang w:eastAsia="sk-SK"/>
        </w:rPr>
        <w:t>Note 1:</w:t>
      </w:r>
    </w:p>
    <w:p w14:paraId="36CA1B65" w14:textId="77777777" w:rsidR="000873B3" w:rsidRPr="000873B3" w:rsidRDefault="000873B3" w:rsidP="000873B3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proofErr w:type="spellStart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Row</w:t>
      </w:r>
      <w:proofErr w:type="spellEnd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and </w:t>
      </w:r>
      <w:proofErr w:type="spellStart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column</w:t>
      </w:r>
      <w:proofErr w:type="spellEnd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headings</w:t>
      </w:r>
      <w:proofErr w:type="spellEnd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are </w:t>
      </w:r>
      <w:proofErr w:type="spellStart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references</w:t>
      </w:r>
      <w:proofErr w:type="spellEnd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to </w:t>
      </w:r>
      <w:proofErr w:type="spellStart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the</w:t>
      </w:r>
      <w:proofErr w:type="spellEnd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relevant</w:t>
      </w:r>
      <w:proofErr w:type="spellEnd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section</w:t>
      </w:r>
      <w:proofErr w:type="spellEnd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and </w:t>
      </w:r>
      <w:proofErr w:type="spellStart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item</w:t>
      </w:r>
      <w:proofErr w:type="spellEnd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proofErr w:type="spellStart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numbers</w:t>
      </w:r>
      <w:proofErr w:type="spellEnd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in </w:t>
      </w:r>
      <w:proofErr w:type="spellStart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Annex</w:t>
      </w:r>
      <w:proofErr w:type="spellEnd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 to </w:t>
      </w:r>
      <w:proofErr w:type="spellStart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Directive</w:t>
      </w:r>
      <w:proofErr w:type="spellEnd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2014/65/EU (</w:t>
      </w:r>
      <w:proofErr w:type="spellStart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e.g</w:t>
      </w:r>
      <w:proofErr w:type="spellEnd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A1 </w:t>
      </w:r>
      <w:proofErr w:type="spellStart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refers</w:t>
      </w:r>
      <w:proofErr w:type="spellEnd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to point 1 of </w:t>
      </w:r>
      <w:proofErr w:type="spellStart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Section</w:t>
      </w:r>
      <w:proofErr w:type="spellEnd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 of </w:t>
      </w:r>
      <w:proofErr w:type="spellStart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Annex</w:t>
      </w:r>
      <w:proofErr w:type="spellEnd"/>
      <w:r w:rsidRPr="000873B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I)</w:t>
      </w:r>
    </w:p>
    <w:p w14:paraId="79223758" w14:textId="77777777" w:rsidR="000873B3" w:rsidRDefault="000873B3"/>
    <w:sectPr w:rsidR="00087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B3"/>
    <w:rsid w:val="000873B3"/>
    <w:rsid w:val="00E2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657C"/>
  <w15:chartTrackingRefBased/>
  <w15:docId w15:val="{49E1D176-8879-4A1B-84A6-8EB0E758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j-doc-ti">
    <w:name w:val="oj-doc-ti"/>
    <w:basedOn w:val="Normal"/>
    <w:rsid w:val="0008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ti-grseq-1">
    <w:name w:val="oj-ti-grseq-1"/>
    <w:basedOn w:val="Normal"/>
    <w:rsid w:val="0008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j-bold">
    <w:name w:val="oj-bold"/>
    <w:basedOn w:val="DefaultParagraphFont"/>
    <w:rsid w:val="000873B3"/>
  </w:style>
  <w:style w:type="paragraph" w:customStyle="1" w:styleId="oj-tbl-hdr">
    <w:name w:val="oj-tbl-hdr"/>
    <w:basedOn w:val="Normal"/>
    <w:rsid w:val="0008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tbl-txt">
    <w:name w:val="oj-tbl-txt"/>
    <w:basedOn w:val="Normal"/>
    <w:rsid w:val="0008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j-normal">
    <w:name w:val="oj-normal"/>
    <w:basedOn w:val="Normal"/>
    <w:rsid w:val="0008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semiHidden/>
    <w:unhideWhenUsed/>
    <w:rsid w:val="000873B3"/>
    <w:rPr>
      <w:color w:val="0000FF"/>
      <w:u w:val="single"/>
    </w:rPr>
  </w:style>
  <w:style w:type="character" w:customStyle="1" w:styleId="oj-super">
    <w:name w:val="oj-super"/>
    <w:basedOn w:val="DefaultParagraphFont"/>
    <w:rsid w:val="000873B3"/>
  </w:style>
  <w:style w:type="paragraph" w:customStyle="1" w:styleId="oj-ti-annotation">
    <w:name w:val="oj-ti-annotation"/>
    <w:basedOn w:val="Normal"/>
    <w:rsid w:val="0008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j-italic">
    <w:name w:val="oj-italic"/>
    <w:basedOn w:val="DefaultParagraphFont"/>
    <w:rsid w:val="0008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EN/TXT/HTML/?uri=CELEX:32022R0193&amp;from=SK" TargetMode="External"/><Relationship Id="rId4" Type="http://schemas.openxmlformats.org/officeDocument/2006/relationships/hyperlink" Target="https://eur-lex.europa.eu/legal-content/EN/TXT/HTML/?uri=CELEX:32022R0193&amp;from=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Korčušková Erika</dc:creator>
  <cp:keywords/>
  <dc:description/>
  <cp:lastModifiedBy>Korčušková Erika</cp:lastModifiedBy>
  <cp:revision>1</cp:revision>
  <dcterms:created xsi:type="dcterms:W3CDTF">2023-01-19T09:15:00Z</dcterms:created>
  <dcterms:modified xsi:type="dcterms:W3CDTF">2023-01-19T09:16:00Z</dcterms:modified>
</cp:coreProperties>
</file>