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BC03" w14:textId="1C9E235E" w:rsidR="00FF04B5" w:rsidRDefault="00FF04B5" w:rsidP="00B42F36">
      <w:pPr>
        <w:spacing w:after="0"/>
      </w:pPr>
    </w:p>
    <w:p w14:paraId="5B7195DB" w14:textId="77777777" w:rsidR="00FF5091" w:rsidRPr="00FF5091" w:rsidRDefault="00FF5091" w:rsidP="00FF5091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r w:rsidRPr="00FF50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Formulár na predkladanie pasového oznámenia o službách</w:t>
      </w:r>
    </w:p>
    <w:p w14:paraId="2F8EDBC2" w14:textId="77777777" w:rsidR="00FF5091" w:rsidRPr="00FF5091" w:rsidRDefault="00FF5091" w:rsidP="00FF509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F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1.   </w:t>
      </w:r>
      <w:r w:rsidRPr="00FF509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Kontaktné údaje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  <w:gridCol w:w="2268"/>
      </w:tblGrid>
      <w:tr w:rsidR="00FF5091" w:rsidRPr="00FF5091" w14:paraId="37D52329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17C38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Druh oznámenia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7228B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Pasové oznámenie o službách</w:t>
            </w:r>
          </w:p>
        </w:tc>
      </w:tr>
      <w:tr w:rsidR="00FF5091" w:rsidRPr="00FF5091" w14:paraId="5F73BDDE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2AE9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Hostiteľský členský štát, v ktorom úverová inštitúcia plánuje vykonávať svoje činnosti: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1AB4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32196FF1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7E502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Názov a vnútroštátny referenčný kód úverovej inštitúcie, ktoré sú uvedené v registri úverových inštitúcií, ktorý vedie orgán EBA: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9652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55A868DD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838E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Identifikátor právneho subjektu (LEI) úverovej inštitúcie: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CEE2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5DEF5E61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BD04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Adresa ústredia úverovej inštitúcie: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3415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4D633050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4A81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Meno kontaktnej osoby v úverovej inštitúcii: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1A06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1231BFDD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13CE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Telefónne číslo: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B8EC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53503465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A4B18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F87F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F6F7D5" w14:textId="77777777" w:rsidR="00FF5091" w:rsidRPr="00FF5091" w:rsidRDefault="00FF5091" w:rsidP="00FF509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F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2.   </w:t>
      </w:r>
      <w:r w:rsidRPr="00FF509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Zoznam činností uvedených v prílohe I k smernici 2013/36/EÚ, ktoré úverová inštitúcia bude vykonávať v hostiteľskom členskom štáte, s uvedením činností, ktoré budú predstavovať hlavný predmet podnikania úverovej inštitúcie v hostiteľskom členskom štáte, vrátane plánovaného dátumu začiatku každej činnosti (čo najpresnejšie informácie)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292"/>
        <w:gridCol w:w="1748"/>
        <w:gridCol w:w="1927"/>
        <w:gridCol w:w="1497"/>
      </w:tblGrid>
      <w:tr w:rsidR="00FF5091" w:rsidRPr="00FF5091" w14:paraId="2B814F75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E8ADC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1E3A6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Činnosť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74D52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Činnosti, ktoré úverová inštitúcia plánuje vykonávať (uveďte písmeno „X“)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DF991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Činnosti, ktoré budú predstavovať hlavný predmet podnikania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BDAAF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Plánovaný dátum začiatku každej činnosti</w:t>
            </w:r>
          </w:p>
        </w:tc>
      </w:tr>
      <w:tr w:rsidR="00FF5091" w:rsidRPr="00FF5091" w14:paraId="312DC747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1F3ED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79C53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Prijímanie vkladov a iných návratných zdrojov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4CBB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88ABE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6ECF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6E5985B8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2B8D2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93BD0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 xml:space="preserve">Poskytovanie úverov okrem iného vrátane: spotrebiteľských úverov, úverových dohôd týkajúcich sa nehnuteľného majetku, </w:t>
            </w:r>
            <w:proofErr w:type="spellStart"/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faktoringu</w:t>
            </w:r>
            <w:proofErr w:type="spellEnd"/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, s regresom a bez regresu, financovania obchodných transakcií (vrátane forfaitingu)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8672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99BF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1C61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26583B86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BDF7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91A11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Finančný lízing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9FAC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6A73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8E93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26FA5DF1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05B46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A4CD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Platobné služby v zmysle vymedzenia v článku 4 bode 3 smernice Európskeho parlamentu a Rady (EÚ) 2015/2366 </w:t>
            </w:r>
            <w:hyperlink r:id="rId7" w:anchor="ntr5-L_2022031SK.01001701-E0001" w:history="1">
              <w:r w:rsidRPr="00FF5091">
                <w:rPr>
                  <w:rFonts w:ascii="inherit" w:eastAsia="Times New Roman" w:hAnsi="inherit" w:cs="Times New Roman"/>
                  <w:color w:val="3366CC"/>
                  <w:szCs w:val="22"/>
                  <w:u w:val="single"/>
                  <w:lang w:eastAsia="sk-SK"/>
                </w:rPr>
                <w:t> (</w:t>
              </w:r>
              <w:r w:rsidRPr="00FF5091">
                <w:rPr>
                  <w:rFonts w:ascii="inherit" w:eastAsia="Times New Roman" w:hAnsi="inherit" w:cs="Times New Roman"/>
                  <w:color w:val="3366CC"/>
                  <w:sz w:val="15"/>
                  <w:szCs w:val="15"/>
                  <w:vertAlign w:val="superscript"/>
                  <w:lang w:eastAsia="sk-SK"/>
                </w:rPr>
                <w:t>5</w:t>
              </w:r>
              <w:r w:rsidRPr="00FF5091">
                <w:rPr>
                  <w:rFonts w:ascii="inherit" w:eastAsia="Times New Roman" w:hAnsi="inherit" w:cs="Times New Roman"/>
                  <w:color w:val="3366CC"/>
                  <w:szCs w:val="22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3C29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C911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7EE3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616C7F76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2B59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DA0A0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 xml:space="preserve">Služby umožňujúce vklad hotovosti na platobný účet </w:t>
            </w: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lastRenderedPageBreak/>
              <w:t>a všetky operácie vyžadované na vedenie platobného účtu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7DF4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DC01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F4AF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646FA911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2AA83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4127E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Služby umožňujúce výber hotovosti z platobného účtu a všetky operácie vyžadované na vedenie platobného účtu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660B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9FAE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ADA9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28B0CE26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5DA74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A4F7C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Vykonávanie platobných transakcií vrátane prevodov finančných prostriedkov na platobný účet vedený u poskytovateľa platobných služieb používateľa alebo u iného poskytovateľa platobných služieb: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3B5AF6F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E181C7D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09DC72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vykonávanie inkasa vrátane jednorazového inkasa</w:t>
                  </w:r>
                </w:p>
              </w:tc>
            </w:tr>
          </w:tbl>
          <w:p w14:paraId="2BC1AE70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58CFBC4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04DBB74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1D36E6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vykonávanie platobných transakcií prostredníctvom platobnej karty alebo podobného zariadenia</w:t>
                  </w:r>
                </w:p>
              </w:tc>
            </w:tr>
          </w:tbl>
          <w:p w14:paraId="34775F91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221FEAC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29A0634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ECF280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vykonávanie úhrad vrátane trvalých platobných príkazov</w:t>
                  </w:r>
                </w:p>
              </w:tc>
            </w:tr>
          </w:tbl>
          <w:p w14:paraId="3D7E7257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5473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A4AD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5307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689D0335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152E3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4d.</w:t>
            </w:r>
            <w:hyperlink r:id="rId8" w:anchor="ntr*-L_2022031SK.01001701-E0002" w:history="1">
              <w:r w:rsidRPr="00FF5091">
                <w:rPr>
                  <w:rFonts w:ascii="inherit" w:eastAsia="Times New Roman" w:hAnsi="inherit" w:cs="Times New Roman"/>
                  <w:color w:val="3366CC"/>
                  <w:szCs w:val="22"/>
                  <w:u w:val="single"/>
                  <w:lang w:eastAsia="sk-SK"/>
                </w:rPr>
                <w:t> (</w:t>
              </w:r>
              <w:r w:rsidRPr="00FF5091">
                <w:rPr>
                  <w:rFonts w:ascii="inherit" w:eastAsia="Times New Roman" w:hAnsi="inherit" w:cs="Times New Roman"/>
                  <w:color w:val="3366CC"/>
                  <w:sz w:val="15"/>
                  <w:szCs w:val="15"/>
                  <w:vertAlign w:val="superscript"/>
                  <w:lang w:eastAsia="sk-SK"/>
                </w:rPr>
                <w:t>*</w:t>
              </w:r>
              <w:r w:rsidRPr="00FF5091">
                <w:rPr>
                  <w:rFonts w:ascii="inherit" w:eastAsia="Times New Roman" w:hAnsi="inherit" w:cs="Times New Roman"/>
                  <w:color w:val="3366CC"/>
                  <w:szCs w:val="22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358217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Vykonávanie platobných transakcií, v prípade ktorých sú finančné prostriedky kryté úverovým rámcom poskytnutým používateľovi platobných služieb: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5CF8ADB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BCC8BF8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12253E1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vykonávanie inkasa vrátane jednorazového inkasa</w:t>
                  </w:r>
                </w:p>
              </w:tc>
            </w:tr>
          </w:tbl>
          <w:p w14:paraId="4B2D0A30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150C8F0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9ECC2EF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FF0917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vykonávanie platobných transakcií prostredníctvom platobnej karty alebo podobného zariadenia</w:t>
                  </w:r>
                </w:p>
              </w:tc>
            </w:tr>
          </w:tbl>
          <w:p w14:paraId="1DD7A097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0D0990E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438784D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6C0BB3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vykonávanie úhrad vrátane trvalých platobných príkazov</w:t>
                  </w:r>
                </w:p>
              </w:tc>
            </w:tr>
          </w:tbl>
          <w:p w14:paraId="430863E1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C7B8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C3DF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1141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0D316A39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0F952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4e.</w:t>
            </w:r>
            <w:hyperlink r:id="rId9" w:anchor="ntr**-L_2022031SK.01001701-E0003" w:history="1">
              <w:r w:rsidRPr="00FF5091">
                <w:rPr>
                  <w:rFonts w:ascii="inherit" w:eastAsia="Times New Roman" w:hAnsi="inherit" w:cs="Times New Roman"/>
                  <w:color w:val="3366CC"/>
                  <w:szCs w:val="22"/>
                  <w:u w:val="single"/>
                  <w:lang w:eastAsia="sk-SK"/>
                </w:rPr>
                <w:t> (</w:t>
              </w:r>
              <w:r w:rsidRPr="00FF5091">
                <w:rPr>
                  <w:rFonts w:ascii="inherit" w:eastAsia="Times New Roman" w:hAnsi="inherit" w:cs="Times New Roman"/>
                  <w:color w:val="3366CC"/>
                  <w:sz w:val="15"/>
                  <w:szCs w:val="15"/>
                  <w:vertAlign w:val="superscript"/>
                  <w:lang w:eastAsia="sk-SK"/>
                </w:rPr>
                <w:t>**</w:t>
              </w:r>
              <w:r w:rsidRPr="00FF5091">
                <w:rPr>
                  <w:rFonts w:ascii="inherit" w:eastAsia="Times New Roman" w:hAnsi="inherit" w:cs="Times New Roman"/>
                  <w:color w:val="3366CC"/>
                  <w:szCs w:val="22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13D584E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6B99C4C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AE03D3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Vydávanie platobných nástrojov</w:t>
                  </w:r>
                </w:p>
              </w:tc>
            </w:tr>
          </w:tbl>
          <w:p w14:paraId="015958AF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1693930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BABEA38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454C78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Prijímanie platobných transakcií</w:t>
                  </w:r>
                </w:p>
              </w:tc>
            </w:tr>
          </w:tbl>
          <w:p w14:paraId="367B4722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4BEE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CEF7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CC8D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413E2C89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4D430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D1A38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Poukazovanie peňazí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3959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E5AA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8BD9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26F296CD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F6614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4g.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BCCBA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Platobné iniciačné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9F60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F568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88FD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1628A0C6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007B2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lastRenderedPageBreak/>
              <w:t>4 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40D9C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Služby informovania o účte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0ADA4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405D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110A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0220876A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C9822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51FC7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Vydávanie a správa iných platobných prostriedkov (napr. cestovných šekov a bankových zmeniek), pokiaľ takéto činnosti nepatria do bodu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0DD7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C5B8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0CA5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1958F655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7AC60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CA191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Záruky a záväzky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EEF51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E57A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4FCF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51EACCDB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EDEB1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1EE8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Obchodovanie na vlastný účet alebo na účet klientov niektorým z týchto spôsobov: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8ED7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BA79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8CA6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4BAE3D5D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1C0CE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7a.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4F943EC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F0E711C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8160396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nástrojmi peňažného trhu (napr. šekmi, zmenkami, vkladovými listami)</w:t>
                  </w:r>
                </w:p>
              </w:tc>
            </w:tr>
          </w:tbl>
          <w:p w14:paraId="05381A81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D76A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E539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A918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3B666C75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4F7B7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7b.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2605"/>
            </w:tblGrid>
            <w:tr w:rsidR="00FF5091" w:rsidRPr="00FF5091" w14:paraId="5E2E064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0502D02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DB4D37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devízami</w:t>
                  </w:r>
                </w:p>
              </w:tc>
            </w:tr>
          </w:tbl>
          <w:p w14:paraId="26B2DA95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8605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4DE1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A100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65277DD9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BA502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7c.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22BBF55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DD63C21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CDA83D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finančnými termínovými obchodmi (</w:t>
                  </w:r>
                  <w:proofErr w:type="spellStart"/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futures</w:t>
                  </w:r>
                  <w:proofErr w:type="spellEnd"/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) a opciami</w:t>
                  </w:r>
                </w:p>
              </w:tc>
            </w:tr>
          </w:tbl>
          <w:p w14:paraId="1FC0DC62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36F2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BCC9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470C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08A4591B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3DBD4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7d.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7782C88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FE5205F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179382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kurzovými a úrokovými nástrojmi</w:t>
                  </w:r>
                </w:p>
              </w:tc>
            </w:tr>
          </w:tbl>
          <w:p w14:paraId="6F52D461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A6D1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731A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A936B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751CE0C3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B1FC0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7e.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037"/>
            </w:tblGrid>
            <w:tr w:rsidR="00FF5091" w:rsidRPr="00FF5091" w14:paraId="4EB4983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3FDD267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7DA876" w14:textId="77777777" w:rsidR="00FF5091" w:rsidRPr="00FF5091" w:rsidRDefault="00FF5091" w:rsidP="00FF5091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FF509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prevoditeľnými cennými papiermi</w:t>
                  </w:r>
                </w:p>
              </w:tc>
            </w:tr>
          </w:tbl>
          <w:p w14:paraId="013FB492" w14:textId="77777777" w:rsidR="00FF5091" w:rsidRPr="00FF5091" w:rsidRDefault="00FF5091" w:rsidP="00FF509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F08E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6354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7C21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75D7FA75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789D4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F86EC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Účasť na emisiách cenných papierov a poskytovanie s tým spojených služieb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7DDC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4178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74FA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1B38FE22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04234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8ADB6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Poradenstvo podnikom v otázkach kapitálovej štruktúry, odvetvovej stratégie a podobne a poradenstvo a služby v otázkach zlúčenia a splynutia a kúpy podnikov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D23D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3D6C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35FA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3F25CEF6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A12E0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301E1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Sprostredkovanie na peňažnom trhu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BDAC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5979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4EFF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34DAD56F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1881D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F84B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Správa portfólia a poradenstvo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36BE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017D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4FB4E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00DB4171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AD7EB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A2EFB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Úschova a správa cenných papierov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9408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C6F3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3E02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051ACB71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A3688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AFF3C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Úverové referenčné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E818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C04F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83BC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62681A68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B68B8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D3D4D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Služby súvisiace s bezpečnostnými schránkami (</w:t>
            </w:r>
            <w:proofErr w:type="spellStart"/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safe</w:t>
            </w:r>
            <w:proofErr w:type="spellEnd"/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 xml:space="preserve"> </w:t>
            </w:r>
            <w:proofErr w:type="spellStart"/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custody</w:t>
            </w:r>
            <w:proofErr w:type="spellEnd"/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5808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06E7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9D61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55A09845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9FBF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534E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Vydávanie elektronických peňazí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5BAF3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E231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49C6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CFE7725" w14:textId="77777777" w:rsidR="00FF5091" w:rsidRPr="00FF5091" w:rsidRDefault="00FF5091" w:rsidP="00FF509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F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3.   </w:t>
      </w:r>
      <w:r w:rsidRPr="00FF509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Zoznam služieb a činností, ktoré úverová inštitúcia plánuje poskytovať, resp. vykonávať v hostiteľskom členskom štáte a ktoré sú stanovené v oddieloch A </w:t>
      </w:r>
      <w:proofErr w:type="spellStart"/>
      <w:r w:rsidRPr="00FF509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</w:t>
      </w:r>
      <w:proofErr w:type="spellEnd"/>
      <w:r w:rsidRPr="00FF509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 B prílohy I k smernici 2014/65/EÚ, keď sa odkazuje na finančné nástroje stanovené v oddiele C prílohy I uvedenej smernice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500"/>
        <w:gridCol w:w="500"/>
        <w:gridCol w:w="500"/>
        <w:gridCol w:w="500"/>
        <w:gridCol w:w="500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FF5091" w:rsidRPr="00FF5091" w14:paraId="2B833304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D8562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lastRenderedPageBreak/>
              <w:t>Finančné nástroje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2CA43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Investičné služby a činnosti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60EA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D2437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Doplnkové služby</w:t>
            </w:r>
          </w:p>
        </w:tc>
      </w:tr>
      <w:tr w:rsidR="00FF5091" w:rsidRPr="00FF5091" w14:paraId="77EEB84C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8DC8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41B442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D3A2A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D5690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ED570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EFEBB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F2BFF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783DF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AB842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BA94D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A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AA2F9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B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B068C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B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6E568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B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B7144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B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5172B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B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6A1D1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B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A968F" w14:textId="77777777" w:rsidR="00FF5091" w:rsidRPr="00FF5091" w:rsidRDefault="00FF5091" w:rsidP="00FF5091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b/>
                <w:bCs/>
                <w:color w:val="000000"/>
                <w:szCs w:val="22"/>
                <w:lang w:eastAsia="sk-SK"/>
              </w:rPr>
              <w:t>B 7</w:t>
            </w:r>
          </w:p>
        </w:tc>
      </w:tr>
      <w:tr w:rsidR="00FF5091" w:rsidRPr="00FF5091" w14:paraId="488D6681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13F56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7864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3843C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8D73F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6FE4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50BE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6ACA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9852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66C9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05F2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B0336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0485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3F04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4750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A8D1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2CB3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B21D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3F09568C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24E4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318A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64E9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18AA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0674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612D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E717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4B41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D642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7A31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8F71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CBEC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F5DF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5854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6005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8728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FA71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5DDAB6A6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A201C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EB78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46CD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0856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AA2EE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580F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1A76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EDC5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73CD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4B75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9DB1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70FC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5C40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EF06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881F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FD58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E5C6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4186F954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DEE1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40F3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8C4E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627B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F270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8CED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4211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73DE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DEEE7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EDE0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8EFE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7B18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26E9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A96C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792B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4F77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72AF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70601572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7D192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FC7E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39D5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27D89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CE55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E7BF5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4E41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F44F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6505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4D68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6A01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8117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2887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9809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7E2E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85F8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6A7C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2CD985A8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3BC8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4B30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4020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ED07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0E4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C61A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A0FB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8C79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E31A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434F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13C1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A9C4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99DB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54EF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53953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FB13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DCC0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3EC2C01A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958C5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F562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824A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2ED6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9DD2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7355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5CEE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E4EC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0F53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D3A5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40E3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35D4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E574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6A9C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D6FC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6B9DA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64CAB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1236EF6A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0808F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0C2F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56A5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D137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0E59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3D8F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8891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F80F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315C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7B79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B8B4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9FD3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37D6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E6CC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0B78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DCC2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CBAC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07D9D6BD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B7E0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F18E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A420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3318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ECF2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CA70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FF44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A5DA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667D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A7D1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DE15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A24A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D5CB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B5D2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19E9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E301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8D54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59198C9F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FC603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C382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2D6E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B589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2C90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6536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B668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9DC8F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F094D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4C762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1D078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76B9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6DA6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50F1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F9F6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62C39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5CF2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F5091" w:rsidRPr="00FF5091" w14:paraId="15F37654" w14:textId="77777777" w:rsidTr="00FF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48E19" w14:textId="77777777" w:rsidR="00FF5091" w:rsidRPr="00FF5091" w:rsidRDefault="00FF5091" w:rsidP="00FF5091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Cs w:val="22"/>
                <w:lang w:eastAsia="sk-SK"/>
              </w:rPr>
              <w:t>C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C22D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21A3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507C7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8159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01EF6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A0A1B4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8442B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BEDE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381CE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87741C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E1975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392B1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F6D7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63310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1AA53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03739" w14:textId="77777777" w:rsidR="00FF5091" w:rsidRPr="00FF5091" w:rsidRDefault="00FF5091" w:rsidP="00FF5091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FF509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80F2838" w14:textId="77777777" w:rsidR="00FF5091" w:rsidRPr="00FF5091" w:rsidRDefault="00FF5091" w:rsidP="00FF509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FF5091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sk-SK"/>
        </w:rPr>
        <w:t>Poznámka č. 1:</w:t>
      </w:r>
    </w:p>
    <w:p w14:paraId="3886AC8F" w14:textId="77777777" w:rsidR="00FF5091" w:rsidRPr="00FF5091" w:rsidRDefault="00FF5091" w:rsidP="00FF509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F50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Nadpisy riadkov a stĺpcov sú odkazy na príslušné číslo oddielu a položky v prílohe I k smernici 2014/65/EÚ (napr. A1 odkazuje na oddiel A bod 1 prílohy I).</w:t>
      </w:r>
    </w:p>
    <w:p w14:paraId="79BF8EDB" w14:textId="77777777" w:rsidR="00FF5091" w:rsidRPr="00564381" w:rsidRDefault="00FF5091" w:rsidP="00B42F36">
      <w:pPr>
        <w:spacing w:after="0"/>
      </w:pPr>
    </w:p>
    <w:sectPr w:rsidR="00FF5091" w:rsidRPr="005643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AFF4" w14:textId="77777777" w:rsidR="00474FCF" w:rsidRDefault="00474FCF" w:rsidP="0009480D">
      <w:pPr>
        <w:spacing w:after="0" w:line="240" w:lineRule="auto"/>
      </w:pPr>
      <w:r>
        <w:separator/>
      </w:r>
    </w:p>
  </w:endnote>
  <w:endnote w:type="continuationSeparator" w:id="0">
    <w:p w14:paraId="3DBF6377" w14:textId="77777777" w:rsidR="00474FCF" w:rsidRDefault="00474FCF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5D5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564E" w14:textId="77777777" w:rsidR="00474FCF" w:rsidRDefault="00474FCF" w:rsidP="0009480D">
      <w:pPr>
        <w:spacing w:after="0" w:line="240" w:lineRule="auto"/>
      </w:pPr>
      <w:r>
        <w:separator/>
      </w:r>
    </w:p>
  </w:footnote>
  <w:footnote w:type="continuationSeparator" w:id="0">
    <w:p w14:paraId="653C935D" w14:textId="77777777" w:rsidR="00474FCF" w:rsidRDefault="00474FCF" w:rsidP="0009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91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4100B0"/>
    <w:rsid w:val="00445B18"/>
    <w:rsid w:val="00474FCF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A719D6"/>
    <w:rsid w:val="00B31C02"/>
    <w:rsid w:val="00B42F36"/>
    <w:rsid w:val="00B46BB5"/>
    <w:rsid w:val="00BA4BE5"/>
    <w:rsid w:val="00C35E8A"/>
    <w:rsid w:val="00CB7C08"/>
    <w:rsid w:val="00E4798D"/>
    <w:rsid w:val="00FE29B3"/>
    <w:rsid w:val="00FF04B5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8F93"/>
  <w15:chartTrackingRefBased/>
  <w15:docId w15:val="{BE1D3739-3086-4B65-8CE2-9B8B7FB9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customStyle="1" w:styleId="oj-doc-ti">
    <w:name w:val="oj-doc-ti"/>
    <w:basedOn w:val="Normal"/>
    <w:rsid w:val="00FF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i-grseq-1">
    <w:name w:val="oj-ti-grseq-1"/>
    <w:basedOn w:val="Normal"/>
    <w:rsid w:val="00FF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bold">
    <w:name w:val="oj-bold"/>
    <w:basedOn w:val="DefaultParagraphFont"/>
    <w:rsid w:val="00FF5091"/>
  </w:style>
  <w:style w:type="paragraph" w:customStyle="1" w:styleId="oj-tbl-hdr">
    <w:name w:val="oj-tbl-hdr"/>
    <w:basedOn w:val="Normal"/>
    <w:rsid w:val="00FF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bl-txt">
    <w:name w:val="oj-tbl-txt"/>
    <w:basedOn w:val="Normal"/>
    <w:rsid w:val="00FF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al"/>
    <w:rsid w:val="00FF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FF5091"/>
    <w:rPr>
      <w:color w:val="0000FF"/>
      <w:u w:val="single"/>
    </w:rPr>
  </w:style>
  <w:style w:type="character" w:customStyle="1" w:styleId="oj-super">
    <w:name w:val="oj-super"/>
    <w:basedOn w:val="DefaultParagraphFont"/>
    <w:rsid w:val="00FF5091"/>
  </w:style>
  <w:style w:type="paragraph" w:customStyle="1" w:styleId="oj-ti-annotation">
    <w:name w:val="oj-ti-annotation"/>
    <w:basedOn w:val="Normal"/>
    <w:rsid w:val="00FF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italic">
    <w:name w:val="oj-italic"/>
    <w:basedOn w:val="DefaultParagraphFont"/>
    <w:rsid w:val="00FF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HTML/?uri=CELEX:32022R0193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K/TXT/HTML/?uri=CELEX:32022R0193&amp;from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K/TXT/HTML/?uri=CELEX:32022R0193&amp;from=EN" TargetMode="Externa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Korčušková Erika</dc:creator>
  <cp:keywords/>
  <dc:description/>
  <cp:lastModifiedBy>Ďuríková Tatiana</cp:lastModifiedBy>
  <cp:revision>2</cp:revision>
  <dcterms:created xsi:type="dcterms:W3CDTF">2022-04-04T09:52:00Z</dcterms:created>
  <dcterms:modified xsi:type="dcterms:W3CDTF">2022-04-04T09:52:00Z</dcterms:modified>
</cp:coreProperties>
</file>